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0C17D" w14:textId="77777777" w:rsidR="00F01FB7" w:rsidRPr="002E1D9C" w:rsidRDefault="00F01FB7">
      <w:pPr>
        <w:rPr>
          <w:i/>
        </w:rPr>
      </w:pPr>
      <w:r w:rsidRPr="002E1D9C">
        <w:rPr>
          <w:i/>
        </w:rPr>
        <w:t>Document that provided data about number of majors in STEM.</w:t>
      </w:r>
    </w:p>
    <w:p w14:paraId="053BA969" w14:textId="77777777" w:rsidR="00F01FB7" w:rsidRPr="002E1D9C" w:rsidRDefault="002E1D9C">
      <w:pPr>
        <w:rPr>
          <w:rFonts w:ascii="Helvetica" w:hAnsi="Helvetica" w:cs="Helvetica"/>
          <w:color w:val="262626"/>
        </w:rPr>
      </w:pPr>
      <w:r>
        <w:rPr>
          <w:rFonts w:ascii="Helvetica" w:hAnsi="Helvetica" w:cs="Helvetica"/>
          <w:color w:val="262626"/>
        </w:rPr>
        <w:tab/>
      </w:r>
      <w:r w:rsidR="00F01FB7" w:rsidRPr="002E1D9C">
        <w:rPr>
          <w:rFonts w:ascii="Helvetica" w:hAnsi="Helvetica" w:cs="Helvetica"/>
          <w:color w:val="262626"/>
        </w:rPr>
        <w:t xml:space="preserve">http://nces.ed.gov/pubs2014/2014001rev.pdf </w:t>
      </w:r>
    </w:p>
    <w:p w14:paraId="5CDEE22E" w14:textId="77777777" w:rsidR="00F01FB7" w:rsidRDefault="00F01FB7">
      <w:pPr>
        <w:rPr>
          <w:rFonts w:ascii="Helvetica" w:hAnsi="Helvetica" w:cs="Helvetica"/>
          <w:color w:val="262626"/>
          <w:sz w:val="26"/>
          <w:szCs w:val="26"/>
        </w:rPr>
      </w:pPr>
    </w:p>
    <w:p w14:paraId="6D97F206" w14:textId="77777777" w:rsidR="00F01FB7" w:rsidRDefault="00F01FB7">
      <w:pPr>
        <w:rPr>
          <w:rFonts w:ascii="Helvetica" w:hAnsi="Helvetica" w:cs="Helvetica"/>
          <w:color w:val="262626"/>
          <w:sz w:val="26"/>
          <w:szCs w:val="26"/>
        </w:rPr>
      </w:pPr>
    </w:p>
    <w:p w14:paraId="792CBEEC" w14:textId="77777777" w:rsidR="00F01FB7" w:rsidRDefault="00F01FB7">
      <w:pPr>
        <w:rPr>
          <w:rFonts w:ascii="Helvetica" w:hAnsi="Helvetica" w:cs="Helvetica"/>
          <w:color w:val="262626"/>
          <w:sz w:val="26"/>
          <w:szCs w:val="26"/>
        </w:rPr>
      </w:pPr>
    </w:p>
    <w:p w14:paraId="44A54F8E" w14:textId="77777777" w:rsidR="00F01FB7" w:rsidRPr="002E1D9C" w:rsidRDefault="00F01FB7" w:rsidP="00F01FB7">
      <w:pPr>
        <w:jc w:val="center"/>
        <w:rPr>
          <w:rFonts w:ascii="Helvetica" w:hAnsi="Helvetica" w:cs="Helvetica"/>
          <w:i/>
          <w:color w:val="262626"/>
          <w:sz w:val="32"/>
          <w:szCs w:val="32"/>
        </w:rPr>
      </w:pPr>
      <w:r w:rsidRPr="002E1D9C">
        <w:rPr>
          <w:rFonts w:ascii="Helvetica" w:hAnsi="Helvetica" w:cs="Helvetica"/>
          <w:i/>
          <w:color w:val="262626"/>
          <w:sz w:val="32"/>
          <w:szCs w:val="32"/>
        </w:rPr>
        <w:t>Data from Fall 2010 – Spring 2016</w:t>
      </w:r>
    </w:p>
    <w:p w14:paraId="14E9E31D" w14:textId="77777777" w:rsidR="00356985" w:rsidRDefault="00356985" w:rsidP="00CB48BE">
      <w:pPr>
        <w:rPr>
          <w:rFonts w:ascii="Helvetica" w:hAnsi="Helvetica" w:cs="Helvetica"/>
          <w:color w:val="262626"/>
          <w:sz w:val="26"/>
          <w:szCs w:val="26"/>
        </w:rPr>
      </w:pPr>
    </w:p>
    <w:tbl>
      <w:tblPr>
        <w:tblStyle w:val="TableGrid"/>
        <w:tblW w:w="0" w:type="auto"/>
        <w:tblLook w:val="04A0" w:firstRow="1" w:lastRow="0" w:firstColumn="1" w:lastColumn="0" w:noHBand="0" w:noVBand="1"/>
      </w:tblPr>
      <w:tblGrid>
        <w:gridCol w:w="2988"/>
        <w:gridCol w:w="1620"/>
        <w:gridCol w:w="1620"/>
        <w:gridCol w:w="2070"/>
      </w:tblGrid>
      <w:tr w:rsidR="00356985" w14:paraId="5D802D56" w14:textId="77777777" w:rsidTr="00356985">
        <w:tc>
          <w:tcPr>
            <w:tcW w:w="2988" w:type="dxa"/>
          </w:tcPr>
          <w:p w14:paraId="6BBA91EB" w14:textId="77777777" w:rsidR="00356985" w:rsidRDefault="00356985" w:rsidP="00CB48BE">
            <w:pPr>
              <w:rPr>
                <w:sz w:val="32"/>
                <w:szCs w:val="32"/>
              </w:rPr>
            </w:pPr>
          </w:p>
        </w:tc>
        <w:tc>
          <w:tcPr>
            <w:tcW w:w="1620" w:type="dxa"/>
          </w:tcPr>
          <w:p w14:paraId="6F7CE206" w14:textId="77777777" w:rsidR="00356985" w:rsidRDefault="00356985" w:rsidP="00CB48BE">
            <w:pPr>
              <w:rPr>
                <w:sz w:val="32"/>
                <w:szCs w:val="32"/>
              </w:rPr>
            </w:pPr>
            <w:r>
              <w:rPr>
                <w:sz w:val="32"/>
                <w:szCs w:val="32"/>
              </w:rPr>
              <w:t>PHY131</w:t>
            </w:r>
          </w:p>
        </w:tc>
        <w:tc>
          <w:tcPr>
            <w:tcW w:w="1620" w:type="dxa"/>
          </w:tcPr>
          <w:p w14:paraId="24F7F18C" w14:textId="77777777" w:rsidR="00356985" w:rsidRDefault="00356985" w:rsidP="00CB48BE">
            <w:pPr>
              <w:rPr>
                <w:sz w:val="32"/>
                <w:szCs w:val="32"/>
              </w:rPr>
            </w:pPr>
            <w:r>
              <w:rPr>
                <w:sz w:val="32"/>
                <w:szCs w:val="32"/>
              </w:rPr>
              <w:t>PHY241</w:t>
            </w:r>
          </w:p>
        </w:tc>
        <w:tc>
          <w:tcPr>
            <w:tcW w:w="2070" w:type="dxa"/>
          </w:tcPr>
          <w:p w14:paraId="56FA5AF4" w14:textId="77777777" w:rsidR="00356985" w:rsidRDefault="00356985" w:rsidP="00CB48BE">
            <w:pPr>
              <w:rPr>
                <w:sz w:val="32"/>
                <w:szCs w:val="32"/>
              </w:rPr>
            </w:pPr>
            <w:r>
              <w:rPr>
                <w:sz w:val="32"/>
                <w:szCs w:val="32"/>
              </w:rPr>
              <w:t>MAT241</w:t>
            </w:r>
          </w:p>
        </w:tc>
      </w:tr>
      <w:tr w:rsidR="00356985" w14:paraId="3A5B74D3" w14:textId="77777777" w:rsidTr="00356985">
        <w:tc>
          <w:tcPr>
            <w:tcW w:w="2988" w:type="dxa"/>
          </w:tcPr>
          <w:p w14:paraId="19582F43" w14:textId="77777777" w:rsidR="00356985" w:rsidRPr="00CB48BE" w:rsidRDefault="00356985" w:rsidP="00CB48BE">
            <w:r w:rsidRPr="00CB48BE">
              <w:t>Total # Students</w:t>
            </w:r>
            <w:r>
              <w:t xml:space="preserve"> to take course </w:t>
            </w:r>
          </w:p>
        </w:tc>
        <w:tc>
          <w:tcPr>
            <w:tcW w:w="1620" w:type="dxa"/>
            <w:vAlign w:val="bottom"/>
          </w:tcPr>
          <w:p w14:paraId="6719C9D8" w14:textId="77777777" w:rsidR="00356985" w:rsidRDefault="00356985" w:rsidP="00CB48BE">
            <w:pPr>
              <w:jc w:val="center"/>
              <w:rPr>
                <w:rFonts w:ascii="Calibri" w:eastAsia="Times New Roman" w:hAnsi="Calibri" w:cs="Times New Roman"/>
                <w:color w:val="000000"/>
              </w:rPr>
            </w:pPr>
            <w:r>
              <w:rPr>
                <w:rFonts w:ascii="Calibri" w:eastAsia="Times New Roman" w:hAnsi="Calibri" w:cs="Times New Roman"/>
                <w:color w:val="000000"/>
              </w:rPr>
              <w:t>183</w:t>
            </w:r>
          </w:p>
        </w:tc>
        <w:tc>
          <w:tcPr>
            <w:tcW w:w="1620" w:type="dxa"/>
            <w:vAlign w:val="bottom"/>
          </w:tcPr>
          <w:p w14:paraId="63615FA0" w14:textId="77777777" w:rsidR="00356985" w:rsidRDefault="00356985" w:rsidP="00CB48BE">
            <w:pPr>
              <w:jc w:val="center"/>
              <w:rPr>
                <w:rFonts w:ascii="Calibri" w:eastAsia="Times New Roman" w:hAnsi="Calibri" w:cs="Times New Roman"/>
                <w:color w:val="000000"/>
              </w:rPr>
            </w:pPr>
            <w:r>
              <w:rPr>
                <w:rFonts w:ascii="Calibri" w:eastAsia="Times New Roman" w:hAnsi="Calibri" w:cs="Times New Roman"/>
                <w:color w:val="000000"/>
              </w:rPr>
              <w:t>21</w:t>
            </w:r>
          </w:p>
        </w:tc>
        <w:tc>
          <w:tcPr>
            <w:tcW w:w="2070" w:type="dxa"/>
            <w:vAlign w:val="bottom"/>
          </w:tcPr>
          <w:p w14:paraId="299E5624" w14:textId="77777777" w:rsidR="00356985" w:rsidRDefault="00356985" w:rsidP="00CB48BE">
            <w:pPr>
              <w:jc w:val="center"/>
              <w:rPr>
                <w:rFonts w:ascii="Calibri" w:eastAsia="Times New Roman" w:hAnsi="Calibri" w:cs="Times New Roman"/>
                <w:color w:val="000000"/>
              </w:rPr>
            </w:pPr>
            <w:r>
              <w:rPr>
                <w:rFonts w:ascii="Calibri" w:eastAsia="Times New Roman" w:hAnsi="Calibri" w:cs="Times New Roman"/>
                <w:color w:val="000000"/>
              </w:rPr>
              <w:t>246</w:t>
            </w:r>
          </w:p>
        </w:tc>
      </w:tr>
      <w:tr w:rsidR="00356985" w14:paraId="1B60F4AC" w14:textId="77777777" w:rsidTr="00356985">
        <w:tc>
          <w:tcPr>
            <w:tcW w:w="2988" w:type="dxa"/>
            <w:vAlign w:val="bottom"/>
          </w:tcPr>
          <w:p w14:paraId="619DA302" w14:textId="77777777" w:rsidR="00356985" w:rsidRDefault="00356985">
            <w:pPr>
              <w:rPr>
                <w:rFonts w:ascii="Calibri" w:eastAsia="Times New Roman" w:hAnsi="Calibri" w:cs="Times New Roman"/>
                <w:color w:val="000000"/>
              </w:rPr>
            </w:pPr>
            <w:r>
              <w:rPr>
                <w:rFonts w:ascii="Calibri" w:eastAsia="Times New Roman" w:hAnsi="Calibri" w:cs="Times New Roman"/>
                <w:color w:val="000000"/>
              </w:rPr>
              <w:t>Total # Non LC students</w:t>
            </w:r>
          </w:p>
        </w:tc>
        <w:tc>
          <w:tcPr>
            <w:tcW w:w="1620" w:type="dxa"/>
            <w:vAlign w:val="bottom"/>
          </w:tcPr>
          <w:p w14:paraId="77837431" w14:textId="77777777" w:rsidR="00356985" w:rsidRDefault="00356985" w:rsidP="00CB48BE">
            <w:pPr>
              <w:jc w:val="center"/>
              <w:rPr>
                <w:rFonts w:ascii="Calibri" w:eastAsia="Times New Roman" w:hAnsi="Calibri" w:cs="Times New Roman"/>
                <w:color w:val="000000"/>
              </w:rPr>
            </w:pPr>
            <w:r>
              <w:rPr>
                <w:rFonts w:ascii="Calibri" w:eastAsia="Times New Roman" w:hAnsi="Calibri" w:cs="Times New Roman"/>
                <w:color w:val="000000"/>
              </w:rPr>
              <w:t>110</w:t>
            </w:r>
          </w:p>
        </w:tc>
        <w:tc>
          <w:tcPr>
            <w:tcW w:w="1620" w:type="dxa"/>
            <w:vAlign w:val="bottom"/>
          </w:tcPr>
          <w:p w14:paraId="090D6E4B" w14:textId="77777777" w:rsidR="00356985" w:rsidRDefault="00356985" w:rsidP="00CB48BE">
            <w:pPr>
              <w:jc w:val="center"/>
              <w:rPr>
                <w:rFonts w:ascii="Calibri" w:eastAsia="Times New Roman" w:hAnsi="Calibri" w:cs="Times New Roman"/>
                <w:color w:val="000000"/>
              </w:rPr>
            </w:pPr>
            <w:r>
              <w:rPr>
                <w:rFonts w:ascii="Calibri" w:eastAsia="Times New Roman" w:hAnsi="Calibri" w:cs="Times New Roman"/>
                <w:color w:val="000000"/>
              </w:rPr>
              <w:t>8</w:t>
            </w:r>
          </w:p>
        </w:tc>
        <w:tc>
          <w:tcPr>
            <w:tcW w:w="2070" w:type="dxa"/>
            <w:vAlign w:val="bottom"/>
          </w:tcPr>
          <w:p w14:paraId="634CFBB3" w14:textId="77777777" w:rsidR="00356985" w:rsidRDefault="00356985" w:rsidP="00CB48BE">
            <w:pPr>
              <w:jc w:val="center"/>
              <w:rPr>
                <w:rFonts w:ascii="Calibri" w:eastAsia="Times New Roman" w:hAnsi="Calibri" w:cs="Times New Roman"/>
                <w:color w:val="000000"/>
              </w:rPr>
            </w:pPr>
            <w:r>
              <w:rPr>
                <w:rFonts w:ascii="Calibri" w:eastAsia="Times New Roman" w:hAnsi="Calibri" w:cs="Times New Roman"/>
                <w:color w:val="000000"/>
              </w:rPr>
              <w:t>179</w:t>
            </w:r>
          </w:p>
        </w:tc>
      </w:tr>
      <w:tr w:rsidR="00356985" w14:paraId="429B0BB6" w14:textId="77777777" w:rsidTr="00356985">
        <w:tc>
          <w:tcPr>
            <w:tcW w:w="2988" w:type="dxa"/>
            <w:vAlign w:val="bottom"/>
          </w:tcPr>
          <w:p w14:paraId="71971A83" w14:textId="77777777" w:rsidR="00356985" w:rsidRDefault="00356985">
            <w:pPr>
              <w:rPr>
                <w:rFonts w:ascii="Calibri" w:eastAsia="Times New Roman" w:hAnsi="Calibri" w:cs="Times New Roman"/>
                <w:color w:val="000000"/>
              </w:rPr>
            </w:pPr>
            <w:r>
              <w:rPr>
                <w:rFonts w:ascii="Calibri" w:eastAsia="Times New Roman" w:hAnsi="Calibri" w:cs="Times New Roman"/>
                <w:color w:val="000000"/>
              </w:rPr>
              <w:t>Total # NON LC students to pass</w:t>
            </w:r>
          </w:p>
        </w:tc>
        <w:tc>
          <w:tcPr>
            <w:tcW w:w="1620" w:type="dxa"/>
            <w:vAlign w:val="bottom"/>
          </w:tcPr>
          <w:p w14:paraId="4CE0FDFD" w14:textId="77777777" w:rsidR="00356985" w:rsidRDefault="00356985" w:rsidP="00CB48BE">
            <w:pPr>
              <w:jc w:val="center"/>
              <w:rPr>
                <w:rFonts w:ascii="Calibri" w:eastAsia="Times New Roman" w:hAnsi="Calibri" w:cs="Times New Roman"/>
                <w:color w:val="000000"/>
              </w:rPr>
            </w:pPr>
            <w:r>
              <w:rPr>
                <w:rFonts w:ascii="Calibri" w:eastAsia="Times New Roman" w:hAnsi="Calibri" w:cs="Times New Roman"/>
                <w:color w:val="000000"/>
              </w:rPr>
              <w:t>105</w:t>
            </w:r>
          </w:p>
        </w:tc>
        <w:tc>
          <w:tcPr>
            <w:tcW w:w="1620" w:type="dxa"/>
            <w:vAlign w:val="bottom"/>
          </w:tcPr>
          <w:p w14:paraId="6E7CAA0D" w14:textId="77777777" w:rsidR="00356985" w:rsidRDefault="00356985" w:rsidP="00CB48BE">
            <w:pPr>
              <w:jc w:val="center"/>
              <w:rPr>
                <w:rFonts w:ascii="Calibri" w:eastAsia="Times New Roman" w:hAnsi="Calibri" w:cs="Times New Roman"/>
                <w:color w:val="000000"/>
              </w:rPr>
            </w:pPr>
            <w:r>
              <w:rPr>
                <w:rFonts w:ascii="Calibri" w:eastAsia="Times New Roman" w:hAnsi="Calibri" w:cs="Times New Roman"/>
                <w:color w:val="000000"/>
              </w:rPr>
              <w:t>8</w:t>
            </w:r>
          </w:p>
        </w:tc>
        <w:tc>
          <w:tcPr>
            <w:tcW w:w="2070" w:type="dxa"/>
            <w:vAlign w:val="bottom"/>
          </w:tcPr>
          <w:p w14:paraId="3F949814" w14:textId="77777777" w:rsidR="00356985" w:rsidRDefault="00356985" w:rsidP="00CB48BE">
            <w:pPr>
              <w:jc w:val="center"/>
              <w:rPr>
                <w:rFonts w:ascii="Calibri" w:eastAsia="Times New Roman" w:hAnsi="Calibri" w:cs="Times New Roman"/>
                <w:color w:val="000000"/>
              </w:rPr>
            </w:pPr>
            <w:r>
              <w:rPr>
                <w:rFonts w:ascii="Calibri" w:eastAsia="Times New Roman" w:hAnsi="Calibri" w:cs="Times New Roman"/>
                <w:color w:val="000000"/>
              </w:rPr>
              <w:t>146</w:t>
            </w:r>
          </w:p>
        </w:tc>
      </w:tr>
      <w:tr w:rsidR="00356985" w14:paraId="0611CDBE" w14:textId="77777777" w:rsidTr="00356985">
        <w:tc>
          <w:tcPr>
            <w:tcW w:w="2988" w:type="dxa"/>
            <w:vAlign w:val="bottom"/>
          </w:tcPr>
          <w:p w14:paraId="511D13CB" w14:textId="77777777" w:rsidR="00356985" w:rsidRDefault="00356985">
            <w:pPr>
              <w:rPr>
                <w:rFonts w:ascii="Calibri" w:eastAsia="Times New Roman" w:hAnsi="Calibri" w:cs="Times New Roman"/>
                <w:color w:val="000000"/>
              </w:rPr>
            </w:pPr>
            <w:r>
              <w:rPr>
                <w:rFonts w:ascii="Calibri" w:eastAsia="Times New Roman" w:hAnsi="Calibri" w:cs="Times New Roman"/>
                <w:color w:val="000000"/>
              </w:rPr>
              <w:t>Percent to pass:</w:t>
            </w:r>
          </w:p>
        </w:tc>
        <w:tc>
          <w:tcPr>
            <w:tcW w:w="1620" w:type="dxa"/>
            <w:vAlign w:val="bottom"/>
          </w:tcPr>
          <w:p w14:paraId="638D21F2" w14:textId="77777777" w:rsidR="00356985" w:rsidRDefault="00356985" w:rsidP="00CB48BE">
            <w:pPr>
              <w:jc w:val="center"/>
              <w:rPr>
                <w:rFonts w:ascii="Calibri" w:eastAsia="Times New Roman" w:hAnsi="Calibri" w:cs="Times New Roman"/>
                <w:color w:val="000000"/>
              </w:rPr>
            </w:pPr>
            <w:r>
              <w:rPr>
                <w:rFonts w:ascii="Calibri" w:eastAsia="Times New Roman" w:hAnsi="Calibri" w:cs="Times New Roman"/>
                <w:color w:val="000000"/>
              </w:rPr>
              <w:t>95.40%</w:t>
            </w:r>
          </w:p>
        </w:tc>
        <w:tc>
          <w:tcPr>
            <w:tcW w:w="1620" w:type="dxa"/>
            <w:vAlign w:val="bottom"/>
          </w:tcPr>
          <w:p w14:paraId="385C1A87" w14:textId="77777777" w:rsidR="00356985" w:rsidRDefault="00356985" w:rsidP="00CB48BE">
            <w:pPr>
              <w:jc w:val="center"/>
              <w:rPr>
                <w:rFonts w:ascii="Calibri" w:eastAsia="Times New Roman" w:hAnsi="Calibri" w:cs="Times New Roman"/>
                <w:color w:val="000000"/>
              </w:rPr>
            </w:pPr>
            <w:r>
              <w:rPr>
                <w:rFonts w:ascii="Calibri" w:eastAsia="Times New Roman" w:hAnsi="Calibri" w:cs="Times New Roman"/>
                <w:color w:val="000000"/>
              </w:rPr>
              <w:t>100%</w:t>
            </w:r>
          </w:p>
        </w:tc>
        <w:tc>
          <w:tcPr>
            <w:tcW w:w="2070" w:type="dxa"/>
            <w:vAlign w:val="bottom"/>
          </w:tcPr>
          <w:p w14:paraId="4072902C" w14:textId="77777777" w:rsidR="00356985" w:rsidRDefault="00356985" w:rsidP="00CB48BE">
            <w:pPr>
              <w:jc w:val="center"/>
              <w:rPr>
                <w:rFonts w:ascii="Calibri" w:eastAsia="Times New Roman" w:hAnsi="Calibri" w:cs="Times New Roman"/>
                <w:color w:val="000000"/>
              </w:rPr>
            </w:pPr>
            <w:r>
              <w:rPr>
                <w:rFonts w:ascii="Calibri" w:eastAsia="Times New Roman" w:hAnsi="Calibri" w:cs="Times New Roman"/>
                <w:color w:val="000000"/>
              </w:rPr>
              <w:t>81.50%</w:t>
            </w:r>
          </w:p>
        </w:tc>
      </w:tr>
      <w:tr w:rsidR="00356985" w14:paraId="4E13C757" w14:textId="77777777" w:rsidTr="00356985">
        <w:tc>
          <w:tcPr>
            <w:tcW w:w="2988" w:type="dxa"/>
            <w:vAlign w:val="bottom"/>
          </w:tcPr>
          <w:p w14:paraId="740E98C2" w14:textId="77777777" w:rsidR="00356985" w:rsidRDefault="00356985">
            <w:pPr>
              <w:rPr>
                <w:rFonts w:ascii="Calibri" w:eastAsia="Times New Roman" w:hAnsi="Calibri" w:cs="Times New Roman"/>
                <w:color w:val="000000"/>
              </w:rPr>
            </w:pPr>
          </w:p>
        </w:tc>
        <w:tc>
          <w:tcPr>
            <w:tcW w:w="1620" w:type="dxa"/>
            <w:vAlign w:val="bottom"/>
          </w:tcPr>
          <w:p w14:paraId="6F074728" w14:textId="77777777" w:rsidR="00356985" w:rsidRDefault="00356985" w:rsidP="00CB48BE">
            <w:pPr>
              <w:jc w:val="center"/>
              <w:rPr>
                <w:rFonts w:ascii="Calibri" w:eastAsia="Times New Roman" w:hAnsi="Calibri" w:cs="Times New Roman"/>
                <w:color w:val="000000"/>
              </w:rPr>
            </w:pPr>
          </w:p>
        </w:tc>
        <w:tc>
          <w:tcPr>
            <w:tcW w:w="1620" w:type="dxa"/>
            <w:vAlign w:val="bottom"/>
          </w:tcPr>
          <w:p w14:paraId="0541ACF7" w14:textId="77777777" w:rsidR="00356985" w:rsidRDefault="00356985" w:rsidP="00CB48BE">
            <w:pPr>
              <w:jc w:val="center"/>
              <w:rPr>
                <w:rFonts w:ascii="Calibri" w:eastAsia="Times New Roman" w:hAnsi="Calibri" w:cs="Times New Roman"/>
                <w:color w:val="000000"/>
              </w:rPr>
            </w:pPr>
          </w:p>
        </w:tc>
        <w:tc>
          <w:tcPr>
            <w:tcW w:w="2070" w:type="dxa"/>
            <w:vAlign w:val="bottom"/>
          </w:tcPr>
          <w:p w14:paraId="439534B4" w14:textId="77777777" w:rsidR="00356985" w:rsidRDefault="00356985" w:rsidP="00CB48BE">
            <w:pPr>
              <w:jc w:val="center"/>
              <w:rPr>
                <w:rFonts w:ascii="Calibri" w:eastAsia="Times New Roman" w:hAnsi="Calibri" w:cs="Times New Roman"/>
                <w:color w:val="000000"/>
              </w:rPr>
            </w:pPr>
          </w:p>
        </w:tc>
      </w:tr>
      <w:tr w:rsidR="00356985" w14:paraId="73281B82" w14:textId="77777777" w:rsidTr="00356985">
        <w:tc>
          <w:tcPr>
            <w:tcW w:w="2988" w:type="dxa"/>
            <w:vAlign w:val="bottom"/>
          </w:tcPr>
          <w:p w14:paraId="67D3284C" w14:textId="77777777" w:rsidR="00356985" w:rsidRDefault="00356985">
            <w:pPr>
              <w:rPr>
                <w:rFonts w:ascii="Calibri" w:eastAsia="Times New Roman" w:hAnsi="Calibri" w:cs="Times New Roman"/>
                <w:color w:val="000000"/>
              </w:rPr>
            </w:pPr>
            <w:r>
              <w:rPr>
                <w:rFonts w:ascii="Calibri" w:eastAsia="Times New Roman" w:hAnsi="Calibri" w:cs="Times New Roman"/>
                <w:color w:val="000000"/>
              </w:rPr>
              <w:t>Total # LC students to take</w:t>
            </w:r>
          </w:p>
        </w:tc>
        <w:tc>
          <w:tcPr>
            <w:tcW w:w="1620" w:type="dxa"/>
            <w:vAlign w:val="bottom"/>
          </w:tcPr>
          <w:p w14:paraId="2ABDE7B1" w14:textId="77777777" w:rsidR="00356985" w:rsidRDefault="00356985" w:rsidP="00CB48BE">
            <w:pPr>
              <w:jc w:val="center"/>
              <w:rPr>
                <w:rFonts w:ascii="Calibri" w:eastAsia="Times New Roman" w:hAnsi="Calibri" w:cs="Times New Roman"/>
                <w:color w:val="000000"/>
              </w:rPr>
            </w:pPr>
            <w:r>
              <w:rPr>
                <w:rFonts w:ascii="Calibri" w:eastAsia="Times New Roman" w:hAnsi="Calibri" w:cs="Times New Roman"/>
                <w:color w:val="000000"/>
              </w:rPr>
              <w:t>73</w:t>
            </w:r>
          </w:p>
        </w:tc>
        <w:tc>
          <w:tcPr>
            <w:tcW w:w="1620" w:type="dxa"/>
            <w:vAlign w:val="bottom"/>
          </w:tcPr>
          <w:p w14:paraId="526E4359" w14:textId="77777777" w:rsidR="00356985" w:rsidRDefault="00356985" w:rsidP="00CB48BE">
            <w:pPr>
              <w:jc w:val="center"/>
              <w:rPr>
                <w:rFonts w:ascii="Calibri" w:eastAsia="Times New Roman" w:hAnsi="Calibri" w:cs="Times New Roman"/>
                <w:color w:val="000000"/>
              </w:rPr>
            </w:pPr>
            <w:r>
              <w:rPr>
                <w:rFonts w:ascii="Calibri" w:eastAsia="Times New Roman" w:hAnsi="Calibri" w:cs="Times New Roman"/>
                <w:color w:val="000000"/>
              </w:rPr>
              <w:t>13</w:t>
            </w:r>
          </w:p>
        </w:tc>
        <w:tc>
          <w:tcPr>
            <w:tcW w:w="2070" w:type="dxa"/>
            <w:vAlign w:val="bottom"/>
          </w:tcPr>
          <w:p w14:paraId="6B1A8333" w14:textId="77777777" w:rsidR="00356985" w:rsidRDefault="00356985" w:rsidP="00CB48BE">
            <w:pPr>
              <w:jc w:val="center"/>
              <w:rPr>
                <w:rFonts w:ascii="Calibri" w:eastAsia="Times New Roman" w:hAnsi="Calibri" w:cs="Times New Roman"/>
                <w:color w:val="000000"/>
              </w:rPr>
            </w:pPr>
            <w:r>
              <w:rPr>
                <w:rFonts w:ascii="Calibri" w:eastAsia="Times New Roman" w:hAnsi="Calibri" w:cs="Times New Roman"/>
                <w:color w:val="000000"/>
              </w:rPr>
              <w:t>65</w:t>
            </w:r>
          </w:p>
        </w:tc>
      </w:tr>
      <w:tr w:rsidR="00356985" w14:paraId="07BB5AEF" w14:textId="77777777" w:rsidTr="00356985">
        <w:tc>
          <w:tcPr>
            <w:tcW w:w="2988" w:type="dxa"/>
            <w:vAlign w:val="bottom"/>
          </w:tcPr>
          <w:p w14:paraId="64B43E4A" w14:textId="77777777" w:rsidR="00356985" w:rsidRDefault="00356985">
            <w:pPr>
              <w:rPr>
                <w:rFonts w:ascii="Calibri" w:eastAsia="Times New Roman" w:hAnsi="Calibri" w:cs="Times New Roman"/>
                <w:color w:val="000000"/>
              </w:rPr>
            </w:pPr>
            <w:r>
              <w:rPr>
                <w:rFonts w:ascii="Calibri" w:eastAsia="Times New Roman" w:hAnsi="Calibri" w:cs="Times New Roman"/>
                <w:color w:val="000000"/>
              </w:rPr>
              <w:t>Total # LC students to pass</w:t>
            </w:r>
          </w:p>
        </w:tc>
        <w:tc>
          <w:tcPr>
            <w:tcW w:w="1620" w:type="dxa"/>
            <w:vAlign w:val="bottom"/>
          </w:tcPr>
          <w:p w14:paraId="71C684A8" w14:textId="77777777" w:rsidR="00356985" w:rsidRDefault="00356985" w:rsidP="00CB48BE">
            <w:pPr>
              <w:jc w:val="center"/>
              <w:rPr>
                <w:rFonts w:ascii="Calibri" w:eastAsia="Times New Roman" w:hAnsi="Calibri" w:cs="Times New Roman"/>
                <w:color w:val="000000"/>
              </w:rPr>
            </w:pPr>
            <w:r>
              <w:rPr>
                <w:rFonts w:ascii="Calibri" w:eastAsia="Times New Roman" w:hAnsi="Calibri" w:cs="Times New Roman"/>
                <w:color w:val="000000"/>
              </w:rPr>
              <w:t>70</w:t>
            </w:r>
          </w:p>
        </w:tc>
        <w:tc>
          <w:tcPr>
            <w:tcW w:w="1620" w:type="dxa"/>
            <w:vAlign w:val="bottom"/>
          </w:tcPr>
          <w:p w14:paraId="67DC10D2" w14:textId="77777777" w:rsidR="00356985" w:rsidRDefault="00356985" w:rsidP="00CB48BE">
            <w:pPr>
              <w:jc w:val="center"/>
              <w:rPr>
                <w:rFonts w:ascii="Calibri" w:eastAsia="Times New Roman" w:hAnsi="Calibri" w:cs="Times New Roman"/>
                <w:color w:val="000000"/>
              </w:rPr>
            </w:pPr>
            <w:r>
              <w:rPr>
                <w:rFonts w:ascii="Calibri" w:eastAsia="Times New Roman" w:hAnsi="Calibri" w:cs="Times New Roman"/>
                <w:color w:val="000000"/>
              </w:rPr>
              <w:t>13</w:t>
            </w:r>
          </w:p>
        </w:tc>
        <w:tc>
          <w:tcPr>
            <w:tcW w:w="2070" w:type="dxa"/>
            <w:vAlign w:val="bottom"/>
          </w:tcPr>
          <w:p w14:paraId="007E48CC" w14:textId="77777777" w:rsidR="00356985" w:rsidRDefault="00356985" w:rsidP="00CB48BE">
            <w:pPr>
              <w:jc w:val="center"/>
              <w:rPr>
                <w:rFonts w:ascii="Calibri" w:eastAsia="Times New Roman" w:hAnsi="Calibri" w:cs="Times New Roman"/>
                <w:color w:val="000000"/>
              </w:rPr>
            </w:pPr>
            <w:r>
              <w:rPr>
                <w:rFonts w:ascii="Calibri" w:eastAsia="Times New Roman" w:hAnsi="Calibri" w:cs="Times New Roman"/>
                <w:color w:val="000000"/>
              </w:rPr>
              <w:t>62</w:t>
            </w:r>
          </w:p>
        </w:tc>
      </w:tr>
    </w:tbl>
    <w:p w14:paraId="399C255E" w14:textId="77777777" w:rsidR="00CB48BE" w:rsidRDefault="00CB48BE" w:rsidP="00CB48BE">
      <w:pPr>
        <w:rPr>
          <w:sz w:val="32"/>
          <w:szCs w:val="32"/>
        </w:rPr>
      </w:pPr>
    </w:p>
    <w:p w14:paraId="36526260" w14:textId="77777777" w:rsidR="00356985" w:rsidRDefault="00356985" w:rsidP="00CB48BE">
      <w:r w:rsidRPr="00356985">
        <w:t>Info regarding data:</w:t>
      </w:r>
    </w:p>
    <w:p w14:paraId="1194C928" w14:textId="77777777" w:rsidR="00356985" w:rsidRDefault="00356985" w:rsidP="00356985">
      <w:pPr>
        <w:pStyle w:val="ListParagraph"/>
        <w:numPr>
          <w:ilvl w:val="0"/>
          <w:numId w:val="1"/>
        </w:numPr>
      </w:pPr>
      <w:r>
        <w:t>Did not count students who repeated courses – only counted whether they passed 1</w:t>
      </w:r>
      <w:r w:rsidRPr="00356985">
        <w:rPr>
          <w:vertAlign w:val="superscript"/>
        </w:rPr>
        <w:t>st</w:t>
      </w:r>
      <w:r>
        <w:t xml:space="preserve"> time or not – also, 4 students chose to retake the LC, these students were only counted once</w:t>
      </w:r>
    </w:p>
    <w:p w14:paraId="13F5B390" w14:textId="77777777" w:rsidR="00356985" w:rsidRDefault="00356985" w:rsidP="00356985">
      <w:pPr>
        <w:pStyle w:val="ListParagraph"/>
        <w:numPr>
          <w:ilvl w:val="0"/>
          <w:numId w:val="1"/>
        </w:numPr>
      </w:pPr>
      <w:r>
        <w:t>Did not include students who dropped the course in the 1</w:t>
      </w:r>
      <w:r w:rsidRPr="00356985">
        <w:rPr>
          <w:vertAlign w:val="superscript"/>
        </w:rPr>
        <w:t>st</w:t>
      </w:r>
      <w:r>
        <w:t xml:space="preserve"> week of the semester</w:t>
      </w:r>
    </w:p>
    <w:p w14:paraId="53F65F59" w14:textId="77777777" w:rsidR="00356985" w:rsidRPr="002E1D9C" w:rsidRDefault="00356985" w:rsidP="00CB48BE">
      <w:pPr>
        <w:pStyle w:val="ListParagraph"/>
        <w:numPr>
          <w:ilvl w:val="0"/>
          <w:numId w:val="1"/>
        </w:numPr>
        <w:rPr>
          <w:sz w:val="32"/>
          <w:szCs w:val="32"/>
        </w:rPr>
      </w:pPr>
      <w:r>
        <w:t>A total of 1</w:t>
      </w:r>
      <w:r w:rsidR="002E1D9C">
        <w:t>56</w:t>
      </w:r>
      <w:r>
        <w:t xml:space="preserve"> students have gone through the LC since fall 2010 </w:t>
      </w:r>
      <w:r w:rsidR="002E1D9C">
        <w:t xml:space="preserve">with 100 passing the LC.  Of the 56 students who failed one or both classes in the LC, several took the “traditional” path and were very successful in the follow up courses.  </w:t>
      </w:r>
    </w:p>
    <w:p w14:paraId="2DB4B07A" w14:textId="77777777" w:rsidR="00356985" w:rsidRDefault="00356985" w:rsidP="00CB48BE">
      <w:pPr>
        <w:rPr>
          <w:sz w:val="32"/>
          <w:szCs w:val="32"/>
        </w:rPr>
      </w:pPr>
    </w:p>
    <w:p w14:paraId="07E2F551" w14:textId="51E69123" w:rsidR="00356985" w:rsidRPr="004C00FF" w:rsidRDefault="004C00FF" w:rsidP="00CB48BE">
      <w:r>
        <w:t xml:space="preserve">I’d like to give a special thanks to Erica Wager for helping with the data analysis for the Chi Square Test.  </w:t>
      </w:r>
      <w:bookmarkStart w:id="0" w:name="_GoBack"/>
      <w:bookmarkEnd w:id="0"/>
    </w:p>
    <w:p w14:paraId="28E9D25C" w14:textId="77777777" w:rsidR="00356985" w:rsidRDefault="00356985" w:rsidP="00CB48BE">
      <w:pPr>
        <w:rPr>
          <w:sz w:val="32"/>
          <w:szCs w:val="32"/>
        </w:rPr>
      </w:pPr>
    </w:p>
    <w:p w14:paraId="2D37D429" w14:textId="77777777" w:rsidR="00356985" w:rsidRDefault="00356985" w:rsidP="00CB48BE">
      <w:pPr>
        <w:rPr>
          <w:sz w:val="32"/>
          <w:szCs w:val="32"/>
        </w:rPr>
      </w:pPr>
    </w:p>
    <w:p w14:paraId="51D30056" w14:textId="77777777" w:rsidR="00356985" w:rsidRDefault="00356985" w:rsidP="00CB48BE">
      <w:pPr>
        <w:rPr>
          <w:sz w:val="32"/>
          <w:szCs w:val="32"/>
        </w:rPr>
      </w:pPr>
    </w:p>
    <w:p w14:paraId="26C0BC1C" w14:textId="77777777" w:rsidR="00356985" w:rsidRDefault="00356985" w:rsidP="00CB48BE">
      <w:pPr>
        <w:rPr>
          <w:sz w:val="32"/>
          <w:szCs w:val="32"/>
        </w:rPr>
      </w:pPr>
    </w:p>
    <w:p w14:paraId="4AFD41FB" w14:textId="77777777" w:rsidR="00356985" w:rsidRDefault="00356985" w:rsidP="00CB48BE">
      <w:pPr>
        <w:rPr>
          <w:sz w:val="32"/>
          <w:szCs w:val="32"/>
        </w:rPr>
      </w:pPr>
    </w:p>
    <w:p w14:paraId="70D922C8" w14:textId="77777777" w:rsidR="00356985" w:rsidRDefault="00356985" w:rsidP="00CB48BE">
      <w:pPr>
        <w:rPr>
          <w:sz w:val="32"/>
          <w:szCs w:val="32"/>
        </w:rPr>
      </w:pPr>
    </w:p>
    <w:p w14:paraId="55184260" w14:textId="77777777" w:rsidR="00356985" w:rsidRDefault="00356985" w:rsidP="00CB48BE">
      <w:pPr>
        <w:rPr>
          <w:sz w:val="32"/>
          <w:szCs w:val="32"/>
        </w:rPr>
      </w:pPr>
    </w:p>
    <w:p w14:paraId="1EB7301F" w14:textId="77777777" w:rsidR="00356985" w:rsidRDefault="00356985" w:rsidP="00CB48BE">
      <w:pPr>
        <w:rPr>
          <w:sz w:val="32"/>
          <w:szCs w:val="32"/>
        </w:rPr>
      </w:pPr>
    </w:p>
    <w:p w14:paraId="74BDE788" w14:textId="77777777" w:rsidR="00356985" w:rsidRDefault="00356985" w:rsidP="00CB48BE">
      <w:pPr>
        <w:rPr>
          <w:sz w:val="32"/>
          <w:szCs w:val="32"/>
        </w:rPr>
      </w:pPr>
    </w:p>
    <w:p w14:paraId="3468372E" w14:textId="77777777" w:rsidR="00356985" w:rsidRDefault="00356985" w:rsidP="00CB48BE">
      <w:pPr>
        <w:rPr>
          <w:sz w:val="32"/>
          <w:szCs w:val="32"/>
        </w:rPr>
      </w:pPr>
    </w:p>
    <w:p w14:paraId="1D19B369" w14:textId="77777777" w:rsidR="00356985" w:rsidRDefault="00356985" w:rsidP="00356985">
      <w:pPr>
        <w:rPr>
          <w:rFonts w:ascii="Helvetica" w:hAnsi="Helvetica" w:cs="Helvetica"/>
          <w:color w:val="262626"/>
          <w:sz w:val="26"/>
          <w:szCs w:val="26"/>
        </w:rPr>
      </w:pPr>
      <w:r>
        <w:rPr>
          <w:rFonts w:ascii="Helvetica" w:hAnsi="Helvetica" w:cs="Helvetica"/>
          <w:color w:val="262626"/>
          <w:sz w:val="26"/>
          <w:szCs w:val="26"/>
        </w:rPr>
        <w:t xml:space="preserve">Learning Community (LC) faculty have been saying for 6 years that the main focus on the LC is to help students in future STEM courses.  Majoring in a STEM field is difficult; math is a barrier for most students.  Approximately 20% of community college students start as a STEM major with 69% of them changing it to non-STEM.  The LC course is designed to help students be successful STEM students and truly understand how math and physics are intertwined.  So, student grades were analyzed from fall 2010 - spring 2016.  Students that went through the LC vs. those that did not did very well in university physics II and III (95% and 100% passing rates for both groups, respectively).  For calculus III, 81.5% </w:t>
      </w:r>
      <w:proofErr w:type="gramStart"/>
      <w:r>
        <w:rPr>
          <w:rFonts w:ascii="Helvetica" w:hAnsi="Helvetica" w:cs="Helvetica"/>
          <w:color w:val="262626"/>
          <w:sz w:val="26"/>
          <w:szCs w:val="26"/>
        </w:rPr>
        <w:t>non LC</w:t>
      </w:r>
      <w:proofErr w:type="gramEnd"/>
      <w:r>
        <w:rPr>
          <w:rFonts w:ascii="Helvetica" w:hAnsi="Helvetica" w:cs="Helvetica"/>
          <w:color w:val="262626"/>
          <w:sz w:val="26"/>
          <w:szCs w:val="26"/>
        </w:rPr>
        <w:t xml:space="preserve"> students passed the course the first time while 95.3% of the LC students passed.  A chi-square test of independence was used to test the relation between completing the LC and passing MAT241 at EMCC. We found that there is a significant relationship X^2 (1, N=215) = 7.42, p&lt;</w:t>
      </w:r>
      <w:proofErr w:type="gramStart"/>
      <w:r>
        <w:rPr>
          <w:rFonts w:ascii="Helvetica" w:hAnsi="Helvetica" w:cs="Helvetica"/>
          <w:color w:val="262626"/>
          <w:sz w:val="26"/>
          <w:szCs w:val="26"/>
        </w:rPr>
        <w:t>.01</w:t>
      </w:r>
      <w:proofErr w:type="gramEnd"/>
      <w:r>
        <w:rPr>
          <w:rFonts w:ascii="Helvetica" w:hAnsi="Helvetica" w:cs="Helvetica"/>
          <w:color w:val="262626"/>
          <w:sz w:val="26"/>
          <w:szCs w:val="26"/>
        </w:rPr>
        <w:t>. Those students who completed the LC were significantly more likely to pass MAT241 than students who did not take the LC. See attached for more detail.</w:t>
      </w:r>
    </w:p>
    <w:p w14:paraId="7E04727F" w14:textId="77777777" w:rsidR="00356985" w:rsidRPr="00F01FB7" w:rsidRDefault="00356985" w:rsidP="00CB48BE">
      <w:pPr>
        <w:rPr>
          <w:sz w:val="32"/>
          <w:szCs w:val="32"/>
        </w:rPr>
      </w:pPr>
    </w:p>
    <w:sectPr w:rsidR="00356985" w:rsidRPr="00F01FB7" w:rsidSect="00EA46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1ED1"/>
    <w:multiLevelType w:val="hybridMultilevel"/>
    <w:tmpl w:val="C180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FB7"/>
    <w:rsid w:val="00082159"/>
    <w:rsid w:val="002E1D9C"/>
    <w:rsid w:val="00356985"/>
    <w:rsid w:val="0049464B"/>
    <w:rsid w:val="004C00FF"/>
    <w:rsid w:val="00653350"/>
    <w:rsid w:val="008266A4"/>
    <w:rsid w:val="00CB48BE"/>
    <w:rsid w:val="00EA4690"/>
    <w:rsid w:val="00F01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695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69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6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327</Words>
  <Characters>1870</Characters>
  <Application>Microsoft Macintosh Word</Application>
  <DocSecurity>0</DocSecurity>
  <Lines>15</Lines>
  <Paragraphs>4</Paragraphs>
  <ScaleCrop>false</ScaleCrop>
  <Company>Estrella Mountain Community College</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Baranowski</dc:creator>
  <cp:keywords/>
  <dc:description/>
  <cp:lastModifiedBy>Rebecca Baranowski</cp:lastModifiedBy>
  <cp:revision>3</cp:revision>
  <dcterms:created xsi:type="dcterms:W3CDTF">2016-06-03T03:26:00Z</dcterms:created>
  <dcterms:modified xsi:type="dcterms:W3CDTF">2016-06-03T04:30:00Z</dcterms:modified>
</cp:coreProperties>
</file>