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A6" w:rsidRPr="002A5538" w:rsidRDefault="002A5538">
      <w:pPr>
        <w:rPr>
          <w:rFonts w:ascii="Comic Sans MS" w:hAnsi="Comic Sans MS"/>
          <w:b/>
        </w:rPr>
      </w:pPr>
      <w:r>
        <w:rPr>
          <w:rFonts w:ascii="Comic Sans MS" w:hAnsi="Comic Sans MS"/>
          <w:b/>
        </w:rPr>
        <w:t xml:space="preserve">Indoor CATS:  </w:t>
      </w:r>
      <w:r w:rsidR="00F009FF" w:rsidRPr="002A5538">
        <w:rPr>
          <w:rFonts w:ascii="Comic Sans MS" w:hAnsi="Comic Sans MS"/>
          <w:b/>
        </w:rPr>
        <w:t>Does required journaling improve student exam grades?</w:t>
      </w:r>
    </w:p>
    <w:p w:rsidR="00560921" w:rsidRPr="00560921" w:rsidRDefault="00560921">
      <w:pPr>
        <w:rPr>
          <w:rFonts w:ascii="Comic Sans MS" w:hAnsi="Comic Sans MS"/>
          <w:b/>
        </w:rPr>
      </w:pPr>
      <w:r w:rsidRPr="00560921">
        <w:rPr>
          <w:rFonts w:ascii="Comic Sans MS" w:hAnsi="Comic Sans MS"/>
          <w:b/>
        </w:rPr>
        <w:t>Methods Used:</w:t>
      </w:r>
    </w:p>
    <w:p w:rsidR="00F009FF" w:rsidRDefault="00F009FF">
      <w:pPr>
        <w:rPr>
          <w:rFonts w:ascii="Comic Sans MS" w:hAnsi="Comic Sans MS"/>
        </w:rPr>
      </w:pPr>
      <w:r>
        <w:rPr>
          <w:rFonts w:ascii="Comic Sans MS" w:hAnsi="Comic Sans MS"/>
        </w:rPr>
        <w:t>Student’s T-test to compare means of</w:t>
      </w:r>
      <w:r w:rsidR="00323AD2">
        <w:rPr>
          <w:rFonts w:ascii="Comic Sans MS" w:hAnsi="Comic Sans MS"/>
        </w:rPr>
        <w:t xml:space="preserve"> two independent groups</w:t>
      </w:r>
      <w:r>
        <w:rPr>
          <w:rFonts w:ascii="Comic Sans MS" w:hAnsi="Comic Sans MS"/>
        </w:rPr>
        <w:t xml:space="preserve"> </w:t>
      </w:r>
      <w:r w:rsidR="00323AD2">
        <w:rPr>
          <w:rFonts w:ascii="Comic Sans MS" w:hAnsi="Comic Sans MS"/>
        </w:rPr>
        <w:t>(</w:t>
      </w:r>
      <w:r>
        <w:rPr>
          <w:rFonts w:ascii="Comic Sans MS" w:hAnsi="Comic Sans MS"/>
        </w:rPr>
        <w:t>pre-journaling and active journaling test scores</w:t>
      </w:r>
      <w:r w:rsidR="00323AD2">
        <w:rPr>
          <w:rFonts w:ascii="Comic Sans MS" w:hAnsi="Comic Sans MS"/>
        </w:rPr>
        <w:t xml:space="preserve">) to determine whether the population means are significantly </w:t>
      </w:r>
      <w:proofErr w:type="gramStart"/>
      <w:r w:rsidR="00323AD2">
        <w:rPr>
          <w:rFonts w:ascii="Comic Sans MS" w:hAnsi="Comic Sans MS"/>
        </w:rPr>
        <w:t>different  (</w:t>
      </w:r>
      <w:proofErr w:type="gramEnd"/>
      <w:r w:rsidR="00323AD2">
        <w:rPr>
          <w:rFonts w:ascii="Comic Sans MS" w:hAnsi="Comic Sans MS"/>
        </w:rPr>
        <w:t>Also</w:t>
      </w:r>
      <w:r w:rsidR="00560921">
        <w:rPr>
          <w:rFonts w:ascii="Comic Sans MS" w:hAnsi="Comic Sans MS"/>
        </w:rPr>
        <w:t xml:space="preserve"> known as the Independent</w:t>
      </w:r>
      <w:r w:rsidR="00323AD2">
        <w:rPr>
          <w:rFonts w:ascii="Comic Sans MS" w:hAnsi="Comic Sans MS"/>
        </w:rPr>
        <w:t>, Two-Sample, Unpaired</w:t>
      </w:r>
      <w:r w:rsidR="00560921">
        <w:rPr>
          <w:rFonts w:ascii="Comic Sans MS" w:hAnsi="Comic Sans MS"/>
        </w:rPr>
        <w:t>, etc. t Test</w:t>
      </w:r>
      <w:r w:rsidR="00323AD2">
        <w:rPr>
          <w:rFonts w:ascii="Comic Sans MS" w:hAnsi="Comic Sans MS"/>
        </w:rPr>
        <w:t>)</w:t>
      </w:r>
      <w:r>
        <w:rPr>
          <w:rFonts w:ascii="Comic Sans MS" w:hAnsi="Comic Sans MS"/>
        </w:rPr>
        <w:t>.</w:t>
      </w:r>
    </w:p>
    <w:p w:rsidR="00560921" w:rsidRDefault="00560921">
      <w:pPr>
        <w:rPr>
          <w:rFonts w:ascii="Comic Sans MS" w:hAnsi="Comic Sans MS"/>
        </w:rPr>
      </w:pPr>
      <w:r>
        <w:rPr>
          <w:rFonts w:ascii="Comic Sans MS" w:hAnsi="Comic Sans MS"/>
        </w:rPr>
        <w:t>An Independent Samples t-test compares the means for two groups.  Since our “groups” consist of students from multiple semesters, a Paired t-test would not be appropriate (same group at different times) nor would a one sample t-test since a known mean does not exist nor would be valid.</w:t>
      </w:r>
    </w:p>
    <w:p w:rsidR="00F009FF" w:rsidRDefault="00F009FF" w:rsidP="00F009FF">
      <w:pPr>
        <w:pStyle w:val="ListParagraph"/>
        <w:numPr>
          <w:ilvl w:val="0"/>
          <w:numId w:val="1"/>
        </w:numPr>
        <w:rPr>
          <w:rFonts w:ascii="Comic Sans MS" w:hAnsi="Comic Sans MS"/>
        </w:rPr>
      </w:pPr>
      <w:r w:rsidRPr="00F009FF">
        <w:rPr>
          <w:rFonts w:ascii="Comic Sans MS" w:hAnsi="Comic Sans MS"/>
        </w:rPr>
        <w:t>The t score is a ration between the difference between two groups and the difference with the groups.  The greater the t score, the greater the difference between the two groups.</w:t>
      </w:r>
    </w:p>
    <w:p w:rsidR="00F009FF" w:rsidRDefault="00F009FF" w:rsidP="00F009FF">
      <w:pPr>
        <w:pStyle w:val="ListParagraph"/>
        <w:numPr>
          <w:ilvl w:val="0"/>
          <w:numId w:val="1"/>
        </w:numPr>
        <w:rPr>
          <w:rFonts w:ascii="Comic Sans MS" w:hAnsi="Comic Sans MS"/>
        </w:rPr>
      </w:pPr>
      <w:r>
        <w:rPr>
          <w:rFonts w:ascii="Comic Sans MS" w:hAnsi="Comic Sans MS"/>
        </w:rPr>
        <w:t>A p-value is the probability that the results from the data are due to chance alone.  The lower the p-value, the greater the probability that your data is valid and not by chance alone.  In most cases, a p-value of 5% (0.05) is acceptable for data validity.</w:t>
      </w:r>
    </w:p>
    <w:p w:rsidR="00F009FF" w:rsidRDefault="00560921">
      <w:pPr>
        <w:rPr>
          <w:rFonts w:ascii="Comic Sans MS" w:hAnsi="Comic Sans MS"/>
        </w:rPr>
      </w:pPr>
      <w:r w:rsidRPr="005774FD">
        <w:rPr>
          <w:rFonts w:ascii="Comic Sans MS" w:hAnsi="Comic Sans MS"/>
          <w:u w:val="single"/>
        </w:rPr>
        <w:t>Data requirements</w:t>
      </w:r>
      <w:r>
        <w:rPr>
          <w:rFonts w:ascii="Comic Sans MS" w:hAnsi="Comic Sans MS"/>
        </w:rPr>
        <w:t>:</w:t>
      </w:r>
      <w:r w:rsidR="002010E9">
        <w:rPr>
          <w:rFonts w:ascii="Comic Sans MS" w:hAnsi="Comic Sans MS"/>
        </w:rPr>
        <w:t xml:space="preserve">  Based on the variability that comes with different students in different semesters with modest changes in the instructional material, will use a Two-Sample t Test Assuming Unequal Variances</w:t>
      </w:r>
    </w:p>
    <w:p w:rsidR="00560921" w:rsidRDefault="00560921" w:rsidP="00560921">
      <w:pPr>
        <w:pStyle w:val="ListParagraph"/>
        <w:numPr>
          <w:ilvl w:val="0"/>
          <w:numId w:val="2"/>
        </w:numPr>
        <w:rPr>
          <w:rFonts w:ascii="Comic Sans MS" w:hAnsi="Comic Sans MS"/>
        </w:rPr>
      </w:pPr>
      <w:r>
        <w:rPr>
          <w:rFonts w:ascii="Comic Sans MS" w:hAnsi="Comic Sans MS"/>
        </w:rPr>
        <w:t>Dependent variable was continuous (grades)</w:t>
      </w:r>
    </w:p>
    <w:p w:rsidR="00560921" w:rsidRDefault="00560921" w:rsidP="00560921">
      <w:pPr>
        <w:pStyle w:val="ListParagraph"/>
        <w:numPr>
          <w:ilvl w:val="0"/>
          <w:numId w:val="2"/>
        </w:numPr>
        <w:rPr>
          <w:rFonts w:ascii="Comic Sans MS" w:hAnsi="Comic Sans MS"/>
        </w:rPr>
      </w:pPr>
      <w:r>
        <w:rPr>
          <w:rFonts w:ascii="Comic Sans MS" w:hAnsi="Comic Sans MS"/>
        </w:rPr>
        <w:t>Independent variable that was categorica</w:t>
      </w:r>
      <w:r w:rsidR="005774FD">
        <w:rPr>
          <w:rFonts w:ascii="Comic Sans MS" w:hAnsi="Comic Sans MS"/>
        </w:rPr>
        <w:t>l (units tested each &amp; instructors</w:t>
      </w:r>
      <w:r>
        <w:rPr>
          <w:rFonts w:ascii="Comic Sans MS" w:hAnsi="Comic Sans MS"/>
        </w:rPr>
        <w:t>)</w:t>
      </w:r>
    </w:p>
    <w:p w:rsidR="00560921" w:rsidRDefault="005774FD" w:rsidP="00560921">
      <w:pPr>
        <w:pStyle w:val="ListParagraph"/>
        <w:numPr>
          <w:ilvl w:val="0"/>
          <w:numId w:val="2"/>
        </w:numPr>
        <w:rPr>
          <w:rFonts w:ascii="Comic Sans MS" w:hAnsi="Comic Sans MS"/>
        </w:rPr>
      </w:pPr>
      <w:r>
        <w:rPr>
          <w:rFonts w:ascii="Comic Sans MS" w:hAnsi="Comic Sans MS"/>
        </w:rPr>
        <w:t>Cases that have values on both the dependent &amp; independent variables</w:t>
      </w:r>
    </w:p>
    <w:p w:rsidR="005774FD" w:rsidRDefault="005774FD" w:rsidP="00560921">
      <w:pPr>
        <w:pStyle w:val="ListParagraph"/>
        <w:numPr>
          <w:ilvl w:val="0"/>
          <w:numId w:val="2"/>
        </w:numPr>
        <w:rPr>
          <w:rFonts w:ascii="Comic Sans MS" w:hAnsi="Comic Sans MS"/>
        </w:rPr>
      </w:pPr>
      <w:r>
        <w:rPr>
          <w:rFonts w:ascii="Comic Sans MS" w:hAnsi="Comic Sans MS"/>
        </w:rPr>
        <w:t>Independent samples/groups w</w:t>
      </w:r>
      <w:r w:rsidR="002010E9">
        <w:rPr>
          <w:rFonts w:ascii="Comic Sans MS" w:hAnsi="Comic Sans MS"/>
        </w:rPr>
        <w:t>i</w:t>
      </w:r>
      <w:r>
        <w:rPr>
          <w:rFonts w:ascii="Comic Sans MS" w:hAnsi="Comic Sans MS"/>
        </w:rPr>
        <w:t>th no relationship between subjects in each sample (hmm… we have a number of recycles), subjects cannot be in both groups (again recycles) no group can influence the other group</w:t>
      </w:r>
    </w:p>
    <w:p w:rsidR="005774FD" w:rsidRDefault="005774FD" w:rsidP="00560921">
      <w:pPr>
        <w:pStyle w:val="ListParagraph"/>
        <w:numPr>
          <w:ilvl w:val="0"/>
          <w:numId w:val="2"/>
        </w:numPr>
        <w:rPr>
          <w:rFonts w:ascii="Comic Sans MS" w:hAnsi="Comic Sans MS"/>
        </w:rPr>
      </w:pPr>
      <w:r>
        <w:rPr>
          <w:rFonts w:ascii="Comic Sans MS" w:hAnsi="Comic Sans MS"/>
        </w:rPr>
        <w:t>Random sample of data from the population (we used all of the data for each population… this should keep with the spirit of randomness since our students perform all across the board)</w:t>
      </w:r>
    </w:p>
    <w:p w:rsidR="005774FD" w:rsidRDefault="005774FD" w:rsidP="00560921">
      <w:pPr>
        <w:pStyle w:val="ListParagraph"/>
        <w:numPr>
          <w:ilvl w:val="0"/>
          <w:numId w:val="2"/>
        </w:numPr>
        <w:rPr>
          <w:rFonts w:ascii="Comic Sans MS" w:hAnsi="Comic Sans MS"/>
        </w:rPr>
      </w:pPr>
      <w:r>
        <w:rPr>
          <w:rFonts w:ascii="Comic Sans MS" w:hAnsi="Comic Sans MS"/>
        </w:rPr>
        <w:t>Normal distribution (appx) of the dependent variable for each group (we do get some skewed semesters, but usually have a fairly normal distribution)</w:t>
      </w:r>
    </w:p>
    <w:p w:rsidR="005774FD" w:rsidRDefault="005774FD" w:rsidP="00560921">
      <w:pPr>
        <w:pStyle w:val="ListParagraph"/>
        <w:numPr>
          <w:ilvl w:val="0"/>
          <w:numId w:val="2"/>
        </w:numPr>
        <w:rPr>
          <w:rFonts w:ascii="Comic Sans MS" w:hAnsi="Comic Sans MS"/>
        </w:rPr>
      </w:pPr>
      <w:r>
        <w:rPr>
          <w:rFonts w:ascii="Comic Sans MS" w:hAnsi="Comic Sans MS"/>
        </w:rPr>
        <w:t>Homogeneity of variances (more or less, that is what we see in our data)</w:t>
      </w:r>
    </w:p>
    <w:p w:rsidR="005774FD" w:rsidRDefault="005774FD" w:rsidP="00560921">
      <w:pPr>
        <w:pStyle w:val="ListParagraph"/>
        <w:numPr>
          <w:ilvl w:val="0"/>
          <w:numId w:val="2"/>
        </w:numPr>
        <w:rPr>
          <w:rFonts w:ascii="Comic Sans MS" w:hAnsi="Comic Sans MS"/>
        </w:rPr>
      </w:pPr>
      <w:r>
        <w:rPr>
          <w:rFonts w:ascii="Comic Sans MS" w:hAnsi="Comic Sans MS"/>
        </w:rPr>
        <w:t>No outliers</w:t>
      </w:r>
    </w:p>
    <w:p w:rsidR="005774FD" w:rsidRDefault="00937E67" w:rsidP="005774FD">
      <w:pPr>
        <w:rPr>
          <w:rFonts w:ascii="Comic Sans MS" w:hAnsi="Comic Sans MS"/>
        </w:rPr>
      </w:pPr>
      <w:r>
        <w:rPr>
          <w:rFonts w:ascii="Comic Sans MS" w:hAnsi="Comic Sans MS"/>
          <w:u w:val="single"/>
        </w:rPr>
        <w:t>Hypothesis</w:t>
      </w:r>
      <w:r>
        <w:rPr>
          <w:rFonts w:ascii="Comic Sans MS" w:hAnsi="Comic Sans MS"/>
        </w:rPr>
        <w:t>:</w:t>
      </w:r>
    </w:p>
    <w:p w:rsidR="00937E67" w:rsidRDefault="00937E67" w:rsidP="005774FD">
      <w:pPr>
        <w:rPr>
          <w:rFonts w:ascii="Comic Sans MS" w:hAnsi="Comic Sans MS"/>
        </w:rPr>
      </w:pPr>
      <w:r>
        <w:rPr>
          <w:rFonts w:ascii="Comic Sans MS" w:hAnsi="Comic Sans MS"/>
        </w:rPr>
        <w:t xml:space="preserve">The null hypothesis is that there is no difference in the testing outcomes when </w:t>
      </w:r>
      <w:proofErr w:type="gramStart"/>
      <w:r>
        <w:rPr>
          <w:rFonts w:ascii="Comic Sans MS" w:hAnsi="Comic Sans MS"/>
        </w:rPr>
        <w:t>students</w:t>
      </w:r>
      <w:proofErr w:type="gramEnd"/>
      <w:r>
        <w:rPr>
          <w:rFonts w:ascii="Comic Sans MS" w:hAnsi="Comic Sans MS"/>
        </w:rPr>
        <w:t xml:space="preserve"> journal compared to when they don’t journal.  </w:t>
      </w:r>
    </w:p>
    <w:p w:rsidR="00937E67" w:rsidRDefault="00937E67" w:rsidP="005774FD">
      <w:pPr>
        <w:rPr>
          <w:rFonts w:ascii="Comic Sans MS" w:hAnsi="Comic Sans MS"/>
        </w:rPr>
      </w:pPr>
      <w:r>
        <w:rPr>
          <w:rFonts w:ascii="Comic Sans MS" w:hAnsi="Comic Sans MS"/>
        </w:rPr>
        <w:t>H</w:t>
      </w:r>
      <w:r w:rsidRPr="00937E67">
        <w:rPr>
          <w:rFonts w:ascii="Comic Sans MS" w:hAnsi="Comic Sans MS"/>
          <w:vertAlign w:val="subscript"/>
        </w:rPr>
        <w:t>o</w:t>
      </w:r>
      <w:r>
        <w:rPr>
          <w:rFonts w:ascii="Comic Sans MS" w:hAnsi="Comic Sans MS"/>
        </w:rPr>
        <w:t xml:space="preserve">: </w:t>
      </w:r>
      <w:r w:rsidRPr="00937E67">
        <w:rPr>
          <w:rFonts w:ascii="Symbol" w:hAnsi="Symbol"/>
        </w:rPr>
        <w:t></w:t>
      </w:r>
      <w:r w:rsidRPr="002A5538">
        <w:rPr>
          <w:rFonts w:ascii="Comic Sans MS" w:hAnsi="Comic Sans MS"/>
          <w:vertAlign w:val="subscript"/>
        </w:rPr>
        <w:t>1</w:t>
      </w:r>
      <w:r>
        <w:rPr>
          <w:rFonts w:ascii="Comic Sans MS" w:hAnsi="Comic Sans MS"/>
        </w:rPr>
        <w:t xml:space="preserve"> = </w:t>
      </w:r>
      <w:r w:rsidRPr="00937E67">
        <w:rPr>
          <w:rFonts w:ascii="Symbol" w:hAnsi="Symbol"/>
        </w:rPr>
        <w:t></w:t>
      </w:r>
      <w:proofErr w:type="gramStart"/>
      <w:r w:rsidRPr="002A5538">
        <w:rPr>
          <w:rFonts w:ascii="Comic Sans MS" w:hAnsi="Comic Sans MS"/>
          <w:vertAlign w:val="subscript"/>
        </w:rPr>
        <w:t>2</w:t>
      </w:r>
      <w:r>
        <w:rPr>
          <w:rFonts w:ascii="Comic Sans MS" w:hAnsi="Comic Sans MS"/>
        </w:rPr>
        <w:t xml:space="preserve">  (</w:t>
      </w:r>
      <w:proofErr w:type="gramEnd"/>
      <w:r>
        <w:rPr>
          <w:rFonts w:ascii="Comic Sans MS" w:hAnsi="Comic Sans MS"/>
        </w:rPr>
        <w:t>the two population means are equal)</w:t>
      </w:r>
      <w:r w:rsidR="002A5538">
        <w:rPr>
          <w:rFonts w:ascii="Comic Sans MS" w:hAnsi="Comic Sans MS"/>
        </w:rPr>
        <w:t xml:space="preserve">  OR  H</w:t>
      </w:r>
      <w:r w:rsidR="002A5538" w:rsidRPr="00937E67">
        <w:rPr>
          <w:rFonts w:ascii="Comic Sans MS" w:hAnsi="Comic Sans MS"/>
          <w:vertAlign w:val="subscript"/>
        </w:rPr>
        <w:t>o</w:t>
      </w:r>
      <w:r w:rsidR="002A5538">
        <w:rPr>
          <w:rFonts w:ascii="Comic Sans MS" w:hAnsi="Comic Sans MS"/>
        </w:rPr>
        <w:t xml:space="preserve">: </w:t>
      </w:r>
      <w:r w:rsidR="002A5538" w:rsidRPr="00937E67">
        <w:rPr>
          <w:rFonts w:ascii="Symbol" w:hAnsi="Symbol"/>
        </w:rPr>
        <w:t></w:t>
      </w:r>
      <w:r w:rsidR="002A5538" w:rsidRPr="002A5538">
        <w:rPr>
          <w:rFonts w:ascii="Comic Sans MS" w:hAnsi="Comic Sans MS"/>
          <w:vertAlign w:val="subscript"/>
        </w:rPr>
        <w:t>1</w:t>
      </w:r>
      <w:r w:rsidR="002A5538">
        <w:rPr>
          <w:rFonts w:ascii="Comic Sans MS" w:hAnsi="Comic Sans MS"/>
        </w:rPr>
        <w:t xml:space="preserve"> - </w:t>
      </w:r>
      <w:r w:rsidR="002A5538" w:rsidRPr="00937E67">
        <w:rPr>
          <w:rFonts w:ascii="Symbol" w:hAnsi="Symbol"/>
        </w:rPr>
        <w:t></w:t>
      </w:r>
      <w:r w:rsidR="002A5538" w:rsidRPr="002A5538">
        <w:rPr>
          <w:rFonts w:ascii="Comic Sans MS" w:hAnsi="Comic Sans MS"/>
          <w:vertAlign w:val="subscript"/>
        </w:rPr>
        <w:t>2</w:t>
      </w:r>
      <w:r w:rsidR="002A5538">
        <w:rPr>
          <w:rFonts w:ascii="Comic Sans MS" w:hAnsi="Comic Sans MS"/>
        </w:rPr>
        <w:t xml:space="preserve"> = 0</w:t>
      </w:r>
    </w:p>
    <w:p w:rsidR="00937E67" w:rsidRDefault="00937E67" w:rsidP="005774FD">
      <w:pPr>
        <w:rPr>
          <w:rFonts w:ascii="Comic Sans MS" w:hAnsi="Comic Sans MS"/>
        </w:rPr>
      </w:pPr>
      <w:r>
        <w:rPr>
          <w:rFonts w:ascii="Comic Sans MS" w:hAnsi="Comic Sans MS"/>
        </w:rPr>
        <w:t>The alternative hypothesis is that journaling makes a difference in student testing outcomes (hopefully for the better!)</w:t>
      </w:r>
    </w:p>
    <w:p w:rsidR="00937E67" w:rsidRDefault="00937E67" w:rsidP="005774FD">
      <w:pPr>
        <w:rPr>
          <w:rFonts w:ascii="Comic Sans MS" w:hAnsi="Comic Sans MS"/>
        </w:rPr>
      </w:pPr>
      <w:r>
        <w:rPr>
          <w:rFonts w:ascii="Comic Sans MS" w:hAnsi="Comic Sans MS"/>
        </w:rPr>
        <w:lastRenderedPageBreak/>
        <w:t>H</w:t>
      </w:r>
      <w:r w:rsidRPr="00937E67">
        <w:rPr>
          <w:rFonts w:ascii="Comic Sans MS" w:hAnsi="Comic Sans MS"/>
          <w:vertAlign w:val="subscript"/>
        </w:rPr>
        <w:t>a</w:t>
      </w:r>
      <w:r>
        <w:rPr>
          <w:rFonts w:ascii="Comic Sans MS" w:hAnsi="Comic Sans MS"/>
        </w:rPr>
        <w:t xml:space="preserve"> or H</w:t>
      </w:r>
      <w:r w:rsidRPr="00937E67">
        <w:rPr>
          <w:rFonts w:ascii="Comic Sans MS" w:hAnsi="Comic Sans MS"/>
          <w:vertAlign w:val="subscript"/>
        </w:rPr>
        <w:t>1</w:t>
      </w:r>
      <w:r>
        <w:rPr>
          <w:rFonts w:ascii="Comic Sans MS" w:hAnsi="Comic Sans MS"/>
        </w:rPr>
        <w:t xml:space="preserve">: </w:t>
      </w:r>
      <w:r w:rsidRPr="00937E67">
        <w:rPr>
          <w:rFonts w:ascii="Symbol" w:hAnsi="Symbol"/>
        </w:rPr>
        <w:t></w:t>
      </w:r>
      <w:r w:rsidRPr="002A5538">
        <w:rPr>
          <w:rFonts w:ascii="Comic Sans MS" w:hAnsi="Comic Sans MS"/>
          <w:vertAlign w:val="subscript"/>
        </w:rPr>
        <w:t>1</w:t>
      </w:r>
      <w:r>
        <w:rPr>
          <w:rFonts w:ascii="Comic Sans MS" w:hAnsi="Comic Sans MS"/>
        </w:rPr>
        <w:t xml:space="preserve"> </w:t>
      </w:r>
      <w:r w:rsidR="002A5538">
        <w:rPr>
          <w:rFonts w:ascii="Comic Sans MS" w:hAnsi="Comic Sans MS"/>
        </w:rPr>
        <w:t>≠</w:t>
      </w:r>
      <w:r>
        <w:rPr>
          <w:rFonts w:ascii="Comic Sans MS" w:hAnsi="Comic Sans MS"/>
        </w:rPr>
        <w:t xml:space="preserve"> </w:t>
      </w:r>
      <w:r w:rsidRPr="00937E67">
        <w:rPr>
          <w:rFonts w:ascii="Symbol" w:hAnsi="Symbol"/>
        </w:rPr>
        <w:t></w:t>
      </w:r>
      <w:proofErr w:type="gramStart"/>
      <w:r w:rsidRPr="002A5538">
        <w:rPr>
          <w:rFonts w:ascii="Comic Sans MS" w:hAnsi="Comic Sans MS"/>
          <w:vertAlign w:val="subscript"/>
        </w:rPr>
        <w:t>2</w:t>
      </w:r>
      <w:r w:rsidR="002A5538">
        <w:rPr>
          <w:rFonts w:ascii="Comic Sans MS" w:hAnsi="Comic Sans MS"/>
        </w:rPr>
        <w:t xml:space="preserve">  (</w:t>
      </w:r>
      <w:proofErr w:type="gramEnd"/>
      <w:r w:rsidR="002A5538">
        <w:rPr>
          <w:rFonts w:ascii="Comic Sans MS" w:hAnsi="Comic Sans MS"/>
        </w:rPr>
        <w:t>the two population means are not equal)  OR  H</w:t>
      </w:r>
      <w:r w:rsidR="002A5538" w:rsidRPr="00937E67">
        <w:rPr>
          <w:rFonts w:ascii="Comic Sans MS" w:hAnsi="Comic Sans MS"/>
          <w:vertAlign w:val="subscript"/>
        </w:rPr>
        <w:t>1</w:t>
      </w:r>
      <w:r w:rsidR="002A5538">
        <w:rPr>
          <w:rFonts w:ascii="Comic Sans MS" w:hAnsi="Comic Sans MS"/>
        </w:rPr>
        <w:t xml:space="preserve">: </w:t>
      </w:r>
      <w:r w:rsidR="002A5538" w:rsidRPr="00937E67">
        <w:rPr>
          <w:rFonts w:ascii="Symbol" w:hAnsi="Symbol"/>
        </w:rPr>
        <w:t></w:t>
      </w:r>
      <w:r w:rsidR="002A5538" w:rsidRPr="002A5538">
        <w:rPr>
          <w:rFonts w:ascii="Comic Sans MS" w:hAnsi="Comic Sans MS"/>
          <w:vertAlign w:val="subscript"/>
        </w:rPr>
        <w:t>1</w:t>
      </w:r>
      <w:r w:rsidR="002A5538">
        <w:rPr>
          <w:rFonts w:ascii="Comic Sans MS" w:hAnsi="Comic Sans MS"/>
        </w:rPr>
        <w:t xml:space="preserve"> - </w:t>
      </w:r>
      <w:r w:rsidR="002A5538" w:rsidRPr="00937E67">
        <w:rPr>
          <w:rFonts w:ascii="Symbol" w:hAnsi="Symbol"/>
        </w:rPr>
        <w:t></w:t>
      </w:r>
      <w:r w:rsidR="002A5538" w:rsidRPr="002A5538">
        <w:rPr>
          <w:rFonts w:ascii="Comic Sans MS" w:hAnsi="Comic Sans MS"/>
          <w:vertAlign w:val="subscript"/>
        </w:rPr>
        <w:t>2</w:t>
      </w:r>
      <w:r w:rsidR="002A5538">
        <w:rPr>
          <w:rFonts w:ascii="Comic Sans MS" w:hAnsi="Comic Sans MS"/>
        </w:rPr>
        <w:t xml:space="preserve">  ≠ 0</w:t>
      </w:r>
    </w:p>
    <w:p w:rsidR="002A5538" w:rsidRDefault="002A5538" w:rsidP="005774FD">
      <w:pPr>
        <w:rPr>
          <w:rFonts w:ascii="Comic Sans MS" w:hAnsi="Comic Sans MS"/>
          <w:u w:val="single"/>
        </w:rPr>
      </w:pPr>
    </w:p>
    <w:p w:rsidR="002A5538" w:rsidRDefault="002010E9" w:rsidP="005774FD">
      <w:pPr>
        <w:rPr>
          <w:rFonts w:ascii="Comic Sans MS" w:hAnsi="Comic Sans MS"/>
        </w:rPr>
      </w:pPr>
      <w:r>
        <w:rPr>
          <w:rFonts w:ascii="Comic Sans MS" w:hAnsi="Comic Sans MS"/>
          <w:u w:val="single"/>
        </w:rPr>
        <w:t>Excel Spreadsheet Calculations</w:t>
      </w:r>
      <w:r w:rsidR="002A5538">
        <w:rPr>
          <w:rFonts w:ascii="Comic Sans MS" w:hAnsi="Comic Sans MS"/>
        </w:rPr>
        <w:t>:</w:t>
      </w:r>
      <w:r>
        <w:rPr>
          <w:rFonts w:ascii="Comic Sans MS" w:hAnsi="Comic Sans MS"/>
        </w:rPr>
        <w:t xml:space="preserve">  Using the Data Analysis Toolkit expressing comparison in the p-value</w:t>
      </w:r>
    </w:p>
    <w:p w:rsidR="002A5538" w:rsidRDefault="002010E9" w:rsidP="002010E9">
      <w:pPr>
        <w:pStyle w:val="ListParagraph"/>
        <w:numPr>
          <w:ilvl w:val="0"/>
          <w:numId w:val="3"/>
        </w:numPr>
        <w:rPr>
          <w:rFonts w:ascii="Comic Sans MS" w:hAnsi="Comic Sans MS"/>
        </w:rPr>
      </w:pPr>
      <w:r>
        <w:rPr>
          <w:rFonts w:ascii="Comic Sans MS" w:hAnsi="Comic Sans MS"/>
        </w:rPr>
        <w:t>Testing one instructor for each of the first three units journaled by the students, 4 semesters each</w:t>
      </w:r>
    </w:p>
    <w:p w:rsidR="002010E9" w:rsidRDefault="002010E9" w:rsidP="002010E9">
      <w:pPr>
        <w:pStyle w:val="ListParagraph"/>
        <w:numPr>
          <w:ilvl w:val="0"/>
          <w:numId w:val="3"/>
        </w:numPr>
        <w:rPr>
          <w:rFonts w:ascii="Comic Sans MS" w:hAnsi="Comic Sans MS"/>
        </w:rPr>
      </w:pPr>
      <w:r>
        <w:rPr>
          <w:rFonts w:ascii="Comic Sans MS" w:hAnsi="Comic Sans MS"/>
        </w:rPr>
        <w:t>Testing one instructor for each of the first three units journaled by the students, 2 semesters each</w:t>
      </w:r>
    </w:p>
    <w:p w:rsidR="002010E9" w:rsidRDefault="002010E9" w:rsidP="002010E9">
      <w:pPr>
        <w:pStyle w:val="ListParagraph"/>
        <w:numPr>
          <w:ilvl w:val="0"/>
          <w:numId w:val="3"/>
        </w:numPr>
        <w:rPr>
          <w:rFonts w:ascii="Comic Sans MS" w:hAnsi="Comic Sans MS"/>
        </w:rPr>
      </w:pPr>
      <w:r>
        <w:rPr>
          <w:rFonts w:ascii="Comic Sans MS" w:hAnsi="Comic Sans MS"/>
        </w:rPr>
        <w:t>Testing total data using combined data</w:t>
      </w:r>
    </w:p>
    <w:tbl>
      <w:tblPr>
        <w:tblStyle w:val="TableGrid"/>
        <w:tblW w:w="0" w:type="auto"/>
        <w:tblLook w:val="04A0" w:firstRow="1" w:lastRow="0" w:firstColumn="1" w:lastColumn="0" w:noHBand="0" w:noVBand="1"/>
      </w:tblPr>
      <w:tblGrid>
        <w:gridCol w:w="659"/>
        <w:gridCol w:w="1159"/>
        <w:gridCol w:w="990"/>
        <w:gridCol w:w="808"/>
        <w:gridCol w:w="1080"/>
        <w:gridCol w:w="990"/>
        <w:gridCol w:w="808"/>
        <w:gridCol w:w="1080"/>
        <w:gridCol w:w="1170"/>
        <w:gridCol w:w="810"/>
      </w:tblGrid>
      <w:tr w:rsidR="00760AA1" w:rsidTr="00760AA1">
        <w:tc>
          <w:tcPr>
            <w:tcW w:w="659" w:type="dxa"/>
          </w:tcPr>
          <w:p w:rsidR="00760AA1" w:rsidRPr="00622018" w:rsidRDefault="00760AA1" w:rsidP="002010E9">
            <w:pPr>
              <w:jc w:val="center"/>
              <w:rPr>
                <w:rFonts w:ascii="Comic Sans MS" w:hAnsi="Comic Sans MS"/>
                <w:b/>
                <w:sz w:val="20"/>
                <w:szCs w:val="20"/>
              </w:rPr>
            </w:pPr>
          </w:p>
          <w:p w:rsidR="00760AA1" w:rsidRPr="00622018" w:rsidRDefault="00760AA1" w:rsidP="002010E9">
            <w:pPr>
              <w:jc w:val="center"/>
              <w:rPr>
                <w:rFonts w:ascii="Comic Sans MS" w:hAnsi="Comic Sans MS"/>
                <w:b/>
                <w:sz w:val="20"/>
                <w:szCs w:val="20"/>
              </w:rPr>
            </w:pPr>
            <w:r w:rsidRPr="00622018">
              <w:rPr>
                <w:rFonts w:ascii="Comic Sans MS" w:hAnsi="Comic Sans MS"/>
                <w:b/>
                <w:sz w:val="20"/>
                <w:szCs w:val="20"/>
              </w:rPr>
              <w:t>Test</w:t>
            </w:r>
          </w:p>
        </w:tc>
        <w:tc>
          <w:tcPr>
            <w:tcW w:w="1159" w:type="dxa"/>
          </w:tcPr>
          <w:p w:rsidR="00760AA1" w:rsidRPr="00622018" w:rsidRDefault="00760AA1" w:rsidP="00622018">
            <w:pPr>
              <w:jc w:val="center"/>
              <w:rPr>
                <w:rFonts w:ascii="Comic Sans MS" w:hAnsi="Comic Sans MS"/>
                <w:b/>
                <w:sz w:val="20"/>
                <w:szCs w:val="20"/>
              </w:rPr>
            </w:pPr>
            <w:r w:rsidRPr="00622018">
              <w:rPr>
                <w:rFonts w:ascii="Comic Sans MS" w:hAnsi="Comic Sans MS"/>
                <w:b/>
                <w:sz w:val="20"/>
                <w:szCs w:val="20"/>
              </w:rPr>
              <w:t>Unit 1 pre-</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990" w:type="dxa"/>
          </w:tcPr>
          <w:p w:rsidR="00760AA1" w:rsidRPr="00622018" w:rsidRDefault="00760AA1" w:rsidP="00622018">
            <w:pPr>
              <w:jc w:val="center"/>
              <w:rPr>
                <w:rFonts w:ascii="Comic Sans MS" w:hAnsi="Comic Sans MS"/>
                <w:b/>
                <w:sz w:val="20"/>
                <w:szCs w:val="20"/>
              </w:rPr>
            </w:pPr>
            <w:r w:rsidRPr="00622018">
              <w:rPr>
                <w:rFonts w:ascii="Comic Sans MS" w:hAnsi="Comic Sans MS"/>
                <w:b/>
                <w:sz w:val="20"/>
                <w:szCs w:val="20"/>
              </w:rPr>
              <w:t xml:space="preserve">Unit 1 </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808" w:type="dxa"/>
          </w:tcPr>
          <w:p w:rsidR="00760AA1" w:rsidRPr="00622018" w:rsidRDefault="00760AA1" w:rsidP="00622018">
            <w:pPr>
              <w:jc w:val="center"/>
              <w:rPr>
                <w:rFonts w:ascii="Comic Sans MS" w:hAnsi="Comic Sans MS"/>
                <w:b/>
                <w:sz w:val="20"/>
                <w:szCs w:val="20"/>
              </w:rPr>
            </w:pPr>
            <w:r w:rsidRPr="00622018">
              <w:rPr>
                <w:rFonts w:ascii="Comic Sans MS" w:hAnsi="Comic Sans MS"/>
                <w:b/>
                <w:sz w:val="20"/>
                <w:szCs w:val="20"/>
              </w:rPr>
              <w:t xml:space="preserve">p-value </w:t>
            </w:r>
          </w:p>
        </w:tc>
        <w:tc>
          <w:tcPr>
            <w:tcW w:w="1080" w:type="dxa"/>
          </w:tcPr>
          <w:p w:rsidR="00760AA1" w:rsidRPr="00622018" w:rsidRDefault="00760AA1" w:rsidP="00622018">
            <w:pPr>
              <w:jc w:val="center"/>
              <w:rPr>
                <w:rFonts w:ascii="Comic Sans MS" w:hAnsi="Comic Sans MS"/>
                <w:b/>
                <w:sz w:val="20"/>
                <w:szCs w:val="20"/>
              </w:rPr>
            </w:pPr>
            <w:r w:rsidRPr="00622018">
              <w:rPr>
                <w:rFonts w:ascii="Comic Sans MS" w:hAnsi="Comic Sans MS"/>
                <w:b/>
                <w:sz w:val="20"/>
                <w:szCs w:val="20"/>
              </w:rPr>
              <w:t xml:space="preserve">Unit </w:t>
            </w:r>
            <w:r>
              <w:rPr>
                <w:rFonts w:ascii="Comic Sans MS" w:hAnsi="Comic Sans MS"/>
                <w:b/>
                <w:sz w:val="20"/>
                <w:szCs w:val="20"/>
              </w:rPr>
              <w:t>2</w:t>
            </w:r>
            <w:r w:rsidRPr="00622018">
              <w:rPr>
                <w:rFonts w:ascii="Comic Sans MS" w:hAnsi="Comic Sans MS"/>
                <w:b/>
                <w:sz w:val="20"/>
                <w:szCs w:val="20"/>
              </w:rPr>
              <w:t xml:space="preserve"> pre-</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990" w:type="dxa"/>
          </w:tcPr>
          <w:p w:rsidR="00760AA1" w:rsidRPr="00622018" w:rsidRDefault="00760AA1" w:rsidP="002C19BC">
            <w:pPr>
              <w:jc w:val="center"/>
              <w:rPr>
                <w:rFonts w:ascii="Comic Sans MS" w:hAnsi="Comic Sans MS"/>
                <w:b/>
                <w:sz w:val="20"/>
                <w:szCs w:val="20"/>
              </w:rPr>
            </w:pPr>
            <w:r>
              <w:rPr>
                <w:rFonts w:ascii="Comic Sans MS" w:hAnsi="Comic Sans MS"/>
                <w:b/>
                <w:sz w:val="20"/>
                <w:szCs w:val="20"/>
              </w:rPr>
              <w:t>Unit 2</w:t>
            </w:r>
            <w:r w:rsidRPr="00622018">
              <w:rPr>
                <w:rFonts w:ascii="Comic Sans MS" w:hAnsi="Comic Sans MS"/>
                <w:b/>
                <w:sz w:val="20"/>
                <w:szCs w:val="20"/>
              </w:rPr>
              <w:t xml:space="preserve"> </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808" w:type="dxa"/>
          </w:tcPr>
          <w:p w:rsidR="00760AA1" w:rsidRPr="00622018" w:rsidRDefault="00760AA1" w:rsidP="002C19BC">
            <w:pPr>
              <w:jc w:val="center"/>
              <w:rPr>
                <w:rFonts w:ascii="Comic Sans MS" w:hAnsi="Comic Sans MS"/>
                <w:b/>
                <w:sz w:val="20"/>
                <w:szCs w:val="20"/>
              </w:rPr>
            </w:pPr>
            <w:r w:rsidRPr="00622018">
              <w:rPr>
                <w:rFonts w:ascii="Comic Sans MS" w:hAnsi="Comic Sans MS"/>
                <w:b/>
                <w:sz w:val="20"/>
                <w:szCs w:val="20"/>
              </w:rPr>
              <w:t xml:space="preserve">p-value </w:t>
            </w:r>
          </w:p>
        </w:tc>
        <w:tc>
          <w:tcPr>
            <w:tcW w:w="1080" w:type="dxa"/>
          </w:tcPr>
          <w:p w:rsidR="00760AA1" w:rsidRPr="00622018" w:rsidRDefault="00760AA1" w:rsidP="00760AA1">
            <w:pPr>
              <w:jc w:val="center"/>
              <w:rPr>
                <w:rFonts w:ascii="Comic Sans MS" w:hAnsi="Comic Sans MS"/>
                <w:b/>
                <w:sz w:val="20"/>
                <w:szCs w:val="20"/>
              </w:rPr>
            </w:pPr>
            <w:r w:rsidRPr="00622018">
              <w:rPr>
                <w:rFonts w:ascii="Comic Sans MS" w:hAnsi="Comic Sans MS"/>
                <w:b/>
                <w:sz w:val="20"/>
                <w:szCs w:val="20"/>
              </w:rPr>
              <w:t xml:space="preserve">Unit </w:t>
            </w:r>
            <w:r>
              <w:rPr>
                <w:rFonts w:ascii="Comic Sans MS" w:hAnsi="Comic Sans MS"/>
                <w:b/>
                <w:sz w:val="20"/>
                <w:szCs w:val="20"/>
              </w:rPr>
              <w:t>3</w:t>
            </w:r>
            <w:r w:rsidRPr="00622018">
              <w:rPr>
                <w:rFonts w:ascii="Comic Sans MS" w:hAnsi="Comic Sans MS"/>
                <w:b/>
                <w:sz w:val="20"/>
                <w:szCs w:val="20"/>
              </w:rPr>
              <w:t xml:space="preserve"> pre-</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1170" w:type="dxa"/>
          </w:tcPr>
          <w:p w:rsidR="00760AA1" w:rsidRPr="00622018" w:rsidRDefault="00760AA1" w:rsidP="00760AA1">
            <w:pPr>
              <w:jc w:val="center"/>
              <w:rPr>
                <w:rFonts w:ascii="Comic Sans MS" w:hAnsi="Comic Sans MS"/>
                <w:b/>
                <w:sz w:val="20"/>
                <w:szCs w:val="20"/>
              </w:rPr>
            </w:pPr>
            <w:r w:rsidRPr="00622018">
              <w:rPr>
                <w:rFonts w:ascii="Comic Sans MS" w:hAnsi="Comic Sans MS"/>
                <w:b/>
                <w:sz w:val="20"/>
                <w:szCs w:val="20"/>
              </w:rPr>
              <w:t xml:space="preserve">Unit </w:t>
            </w:r>
            <w:r>
              <w:rPr>
                <w:rFonts w:ascii="Comic Sans MS" w:hAnsi="Comic Sans MS"/>
                <w:b/>
                <w:sz w:val="20"/>
                <w:szCs w:val="20"/>
              </w:rPr>
              <w:t>3</w:t>
            </w:r>
            <w:r w:rsidRPr="00622018">
              <w:rPr>
                <w:rFonts w:ascii="Comic Sans MS" w:hAnsi="Comic Sans MS"/>
                <w:b/>
                <w:sz w:val="20"/>
                <w:szCs w:val="20"/>
              </w:rPr>
              <w:t xml:space="preserve"> </w:t>
            </w:r>
            <w:proofErr w:type="spellStart"/>
            <w:r w:rsidRPr="00622018">
              <w:rPr>
                <w:rFonts w:ascii="Comic Sans MS" w:hAnsi="Comic Sans MS"/>
                <w:b/>
                <w:sz w:val="20"/>
                <w:szCs w:val="20"/>
              </w:rPr>
              <w:t>Jrnl</w:t>
            </w:r>
            <w:proofErr w:type="spellEnd"/>
            <w:r w:rsidRPr="00622018">
              <w:rPr>
                <w:rFonts w:ascii="Comic Sans MS" w:hAnsi="Comic Sans MS"/>
                <w:b/>
                <w:sz w:val="20"/>
                <w:szCs w:val="20"/>
              </w:rPr>
              <w:t xml:space="preserve"> Ave.</w:t>
            </w:r>
          </w:p>
        </w:tc>
        <w:tc>
          <w:tcPr>
            <w:tcW w:w="810" w:type="dxa"/>
          </w:tcPr>
          <w:p w:rsidR="00760AA1" w:rsidRPr="00622018" w:rsidRDefault="00760AA1" w:rsidP="002C19BC">
            <w:pPr>
              <w:jc w:val="center"/>
              <w:rPr>
                <w:rFonts w:ascii="Comic Sans MS" w:hAnsi="Comic Sans MS"/>
                <w:b/>
                <w:sz w:val="20"/>
                <w:szCs w:val="20"/>
              </w:rPr>
            </w:pPr>
            <w:r w:rsidRPr="00622018">
              <w:rPr>
                <w:rFonts w:ascii="Comic Sans MS" w:hAnsi="Comic Sans MS"/>
                <w:b/>
                <w:sz w:val="20"/>
                <w:szCs w:val="20"/>
              </w:rPr>
              <w:t xml:space="preserve">p-value </w:t>
            </w:r>
          </w:p>
        </w:tc>
      </w:tr>
      <w:tr w:rsidR="00FF6CA4" w:rsidTr="00760AA1">
        <w:tc>
          <w:tcPr>
            <w:tcW w:w="659" w:type="dxa"/>
          </w:tcPr>
          <w:p w:rsidR="00FF6CA4" w:rsidRDefault="00FF6CA4" w:rsidP="002010E9">
            <w:pPr>
              <w:jc w:val="center"/>
              <w:rPr>
                <w:rFonts w:ascii="Comic Sans MS" w:hAnsi="Comic Sans MS"/>
              </w:rPr>
            </w:pPr>
            <w:r>
              <w:rPr>
                <w:rFonts w:ascii="Comic Sans MS" w:hAnsi="Comic Sans MS"/>
              </w:rPr>
              <w:t>1.</w:t>
            </w:r>
          </w:p>
        </w:tc>
        <w:tc>
          <w:tcPr>
            <w:tcW w:w="1159" w:type="dxa"/>
            <w:vMerge w:val="restart"/>
          </w:tcPr>
          <w:p w:rsidR="00FF6CA4" w:rsidRDefault="00FF6CA4" w:rsidP="002010E9">
            <w:pPr>
              <w:jc w:val="center"/>
              <w:rPr>
                <w:rFonts w:ascii="Comic Sans MS" w:hAnsi="Comic Sans MS"/>
              </w:rPr>
            </w:pPr>
            <w:r>
              <w:rPr>
                <w:rFonts w:ascii="Comic Sans MS" w:hAnsi="Comic Sans MS"/>
              </w:rPr>
              <w:t>53.01</w:t>
            </w:r>
          </w:p>
          <w:p w:rsidR="00FF6CA4" w:rsidRDefault="00FF6CA4" w:rsidP="002010E9">
            <w:pPr>
              <w:jc w:val="center"/>
              <w:rPr>
                <w:rFonts w:ascii="Comic Sans MS" w:hAnsi="Comic Sans MS"/>
              </w:rPr>
            </w:pPr>
            <w:r>
              <w:rPr>
                <w:rFonts w:ascii="Comic Sans MS" w:hAnsi="Comic Sans MS"/>
              </w:rPr>
              <w:t>58.94</w:t>
            </w:r>
          </w:p>
          <w:p w:rsidR="00FF6CA4" w:rsidRDefault="00FF6CA4" w:rsidP="002010E9">
            <w:pPr>
              <w:jc w:val="center"/>
              <w:rPr>
                <w:rFonts w:ascii="Comic Sans MS" w:hAnsi="Comic Sans MS"/>
              </w:rPr>
            </w:pPr>
            <w:r>
              <w:rPr>
                <w:rFonts w:ascii="Comic Sans MS" w:hAnsi="Comic Sans MS"/>
              </w:rPr>
              <w:t>54.99</w:t>
            </w:r>
          </w:p>
        </w:tc>
        <w:tc>
          <w:tcPr>
            <w:tcW w:w="990" w:type="dxa"/>
          </w:tcPr>
          <w:p w:rsidR="00FF6CA4" w:rsidRDefault="00FF6CA4" w:rsidP="002010E9">
            <w:pPr>
              <w:jc w:val="center"/>
              <w:rPr>
                <w:rFonts w:ascii="Comic Sans MS" w:hAnsi="Comic Sans MS"/>
              </w:rPr>
            </w:pPr>
            <w:r>
              <w:rPr>
                <w:rFonts w:ascii="Comic Sans MS" w:hAnsi="Comic Sans MS"/>
              </w:rPr>
              <w:t>55.53</w:t>
            </w:r>
          </w:p>
        </w:tc>
        <w:tc>
          <w:tcPr>
            <w:tcW w:w="808" w:type="dxa"/>
          </w:tcPr>
          <w:p w:rsidR="00FF6CA4" w:rsidRDefault="00FF6CA4" w:rsidP="002010E9">
            <w:pPr>
              <w:jc w:val="center"/>
              <w:rPr>
                <w:rFonts w:ascii="Comic Sans MS" w:hAnsi="Comic Sans MS"/>
              </w:rPr>
            </w:pPr>
            <w:r>
              <w:rPr>
                <w:rFonts w:ascii="Comic Sans MS" w:hAnsi="Comic Sans MS"/>
              </w:rPr>
              <w:t>0.338</w:t>
            </w:r>
          </w:p>
        </w:tc>
        <w:tc>
          <w:tcPr>
            <w:tcW w:w="1080" w:type="dxa"/>
          </w:tcPr>
          <w:p w:rsidR="00FF6CA4" w:rsidRDefault="00FF6CA4" w:rsidP="002010E9">
            <w:pPr>
              <w:jc w:val="center"/>
              <w:rPr>
                <w:rFonts w:ascii="Comic Sans MS" w:hAnsi="Comic Sans MS"/>
              </w:rPr>
            </w:pPr>
            <w:r>
              <w:rPr>
                <w:rFonts w:ascii="Comic Sans MS" w:hAnsi="Comic Sans MS"/>
              </w:rPr>
              <w:t>53.86</w:t>
            </w:r>
          </w:p>
        </w:tc>
        <w:tc>
          <w:tcPr>
            <w:tcW w:w="990" w:type="dxa"/>
          </w:tcPr>
          <w:p w:rsidR="00FF6CA4" w:rsidRDefault="00FF6CA4" w:rsidP="002010E9">
            <w:pPr>
              <w:jc w:val="center"/>
              <w:rPr>
                <w:rFonts w:ascii="Comic Sans MS" w:hAnsi="Comic Sans MS"/>
              </w:rPr>
            </w:pPr>
            <w:r>
              <w:rPr>
                <w:rFonts w:ascii="Comic Sans MS" w:hAnsi="Comic Sans MS"/>
              </w:rPr>
              <w:t>54.35</w:t>
            </w:r>
          </w:p>
        </w:tc>
        <w:tc>
          <w:tcPr>
            <w:tcW w:w="808" w:type="dxa"/>
          </w:tcPr>
          <w:p w:rsidR="00FF6CA4" w:rsidRDefault="00FF6CA4" w:rsidP="002010E9">
            <w:pPr>
              <w:jc w:val="center"/>
              <w:rPr>
                <w:rFonts w:ascii="Comic Sans MS" w:hAnsi="Comic Sans MS"/>
              </w:rPr>
            </w:pPr>
            <w:r>
              <w:rPr>
                <w:rFonts w:ascii="Comic Sans MS" w:hAnsi="Comic Sans MS"/>
              </w:rPr>
              <w:t>0.800</w:t>
            </w:r>
          </w:p>
        </w:tc>
        <w:tc>
          <w:tcPr>
            <w:tcW w:w="1080" w:type="dxa"/>
          </w:tcPr>
          <w:p w:rsidR="00FF6CA4" w:rsidRDefault="00FF6CA4" w:rsidP="002010E9">
            <w:pPr>
              <w:jc w:val="center"/>
              <w:rPr>
                <w:rFonts w:ascii="Comic Sans MS" w:hAnsi="Comic Sans MS"/>
              </w:rPr>
            </w:pPr>
            <w:r>
              <w:rPr>
                <w:rFonts w:ascii="Comic Sans MS" w:hAnsi="Comic Sans MS"/>
              </w:rPr>
              <w:t>53.99</w:t>
            </w:r>
          </w:p>
        </w:tc>
        <w:tc>
          <w:tcPr>
            <w:tcW w:w="1170" w:type="dxa"/>
          </w:tcPr>
          <w:p w:rsidR="00FF6CA4" w:rsidRDefault="00FF6CA4" w:rsidP="002010E9">
            <w:pPr>
              <w:jc w:val="center"/>
              <w:rPr>
                <w:rFonts w:ascii="Comic Sans MS" w:hAnsi="Comic Sans MS"/>
              </w:rPr>
            </w:pPr>
            <w:r>
              <w:rPr>
                <w:rFonts w:ascii="Comic Sans MS" w:hAnsi="Comic Sans MS"/>
              </w:rPr>
              <w:t>56.56</w:t>
            </w:r>
          </w:p>
        </w:tc>
        <w:tc>
          <w:tcPr>
            <w:tcW w:w="810" w:type="dxa"/>
          </w:tcPr>
          <w:p w:rsidR="00FF6CA4" w:rsidRDefault="00FF6CA4" w:rsidP="002010E9">
            <w:pPr>
              <w:jc w:val="center"/>
              <w:rPr>
                <w:rFonts w:ascii="Comic Sans MS" w:hAnsi="Comic Sans MS"/>
              </w:rPr>
            </w:pPr>
            <w:r>
              <w:rPr>
                <w:rFonts w:ascii="Comic Sans MS" w:hAnsi="Comic Sans MS"/>
              </w:rPr>
              <w:t>0.264</w:t>
            </w:r>
          </w:p>
        </w:tc>
      </w:tr>
      <w:tr w:rsidR="00FF6CA4" w:rsidTr="00760AA1">
        <w:tc>
          <w:tcPr>
            <w:tcW w:w="659" w:type="dxa"/>
          </w:tcPr>
          <w:p w:rsidR="00FF6CA4" w:rsidRDefault="00FF6CA4" w:rsidP="002010E9">
            <w:pPr>
              <w:jc w:val="center"/>
              <w:rPr>
                <w:rFonts w:ascii="Comic Sans MS" w:hAnsi="Comic Sans MS"/>
              </w:rPr>
            </w:pPr>
            <w:r>
              <w:rPr>
                <w:rFonts w:ascii="Comic Sans MS" w:hAnsi="Comic Sans MS"/>
              </w:rPr>
              <w:t>2</w:t>
            </w:r>
          </w:p>
        </w:tc>
        <w:tc>
          <w:tcPr>
            <w:tcW w:w="1159" w:type="dxa"/>
            <w:vMerge/>
          </w:tcPr>
          <w:p w:rsidR="00FF6CA4" w:rsidRDefault="00FF6CA4" w:rsidP="002010E9">
            <w:pPr>
              <w:jc w:val="center"/>
              <w:rPr>
                <w:rFonts w:ascii="Comic Sans MS" w:hAnsi="Comic Sans MS"/>
              </w:rPr>
            </w:pPr>
          </w:p>
        </w:tc>
        <w:tc>
          <w:tcPr>
            <w:tcW w:w="990" w:type="dxa"/>
          </w:tcPr>
          <w:p w:rsidR="00FF6CA4" w:rsidRDefault="00FF6CA4" w:rsidP="002010E9">
            <w:pPr>
              <w:jc w:val="center"/>
              <w:rPr>
                <w:rFonts w:ascii="Comic Sans MS" w:hAnsi="Comic Sans MS"/>
              </w:rPr>
            </w:pPr>
            <w:r>
              <w:rPr>
                <w:rFonts w:ascii="Comic Sans MS" w:hAnsi="Comic Sans MS"/>
              </w:rPr>
              <w:t>60.83</w:t>
            </w:r>
          </w:p>
        </w:tc>
        <w:tc>
          <w:tcPr>
            <w:tcW w:w="808" w:type="dxa"/>
          </w:tcPr>
          <w:p w:rsidR="00FF6CA4" w:rsidRDefault="00FF6CA4" w:rsidP="002010E9">
            <w:pPr>
              <w:jc w:val="center"/>
              <w:rPr>
                <w:rFonts w:ascii="Comic Sans MS" w:hAnsi="Comic Sans MS"/>
              </w:rPr>
            </w:pPr>
            <w:r>
              <w:rPr>
                <w:rFonts w:ascii="Comic Sans MS" w:hAnsi="Comic Sans MS"/>
              </w:rPr>
              <w:t>0.132</w:t>
            </w:r>
          </w:p>
        </w:tc>
        <w:tc>
          <w:tcPr>
            <w:tcW w:w="1080" w:type="dxa"/>
          </w:tcPr>
          <w:p w:rsidR="00FF6CA4" w:rsidRDefault="00FF6CA4" w:rsidP="002010E9">
            <w:pPr>
              <w:jc w:val="center"/>
              <w:rPr>
                <w:rFonts w:ascii="Comic Sans MS" w:hAnsi="Comic Sans MS"/>
              </w:rPr>
            </w:pPr>
            <w:r>
              <w:rPr>
                <w:rFonts w:ascii="Comic Sans MS" w:hAnsi="Comic Sans MS"/>
              </w:rPr>
              <w:t>60.75</w:t>
            </w:r>
          </w:p>
        </w:tc>
        <w:tc>
          <w:tcPr>
            <w:tcW w:w="990" w:type="dxa"/>
          </w:tcPr>
          <w:p w:rsidR="00FF6CA4" w:rsidRDefault="00FF6CA4" w:rsidP="002010E9">
            <w:pPr>
              <w:jc w:val="center"/>
              <w:rPr>
                <w:rFonts w:ascii="Comic Sans MS" w:hAnsi="Comic Sans MS"/>
              </w:rPr>
            </w:pPr>
            <w:r>
              <w:rPr>
                <w:rFonts w:ascii="Comic Sans MS" w:hAnsi="Comic Sans MS"/>
              </w:rPr>
              <w:t>59.81</w:t>
            </w:r>
          </w:p>
        </w:tc>
        <w:tc>
          <w:tcPr>
            <w:tcW w:w="808" w:type="dxa"/>
          </w:tcPr>
          <w:p w:rsidR="00FF6CA4" w:rsidRDefault="00FF6CA4" w:rsidP="002010E9">
            <w:pPr>
              <w:jc w:val="center"/>
              <w:rPr>
                <w:rFonts w:ascii="Comic Sans MS" w:hAnsi="Comic Sans MS"/>
              </w:rPr>
            </w:pPr>
            <w:r>
              <w:rPr>
                <w:rFonts w:ascii="Comic Sans MS" w:hAnsi="Comic Sans MS"/>
              </w:rPr>
              <w:t>0.804</w:t>
            </w:r>
          </w:p>
        </w:tc>
        <w:tc>
          <w:tcPr>
            <w:tcW w:w="1080" w:type="dxa"/>
          </w:tcPr>
          <w:p w:rsidR="00FF6CA4" w:rsidRDefault="00FF6CA4" w:rsidP="002010E9">
            <w:pPr>
              <w:jc w:val="center"/>
              <w:rPr>
                <w:rFonts w:ascii="Comic Sans MS" w:hAnsi="Comic Sans MS"/>
              </w:rPr>
            </w:pPr>
            <w:r>
              <w:rPr>
                <w:rFonts w:ascii="Comic Sans MS" w:hAnsi="Comic Sans MS"/>
              </w:rPr>
              <w:t>59.59</w:t>
            </w:r>
          </w:p>
        </w:tc>
        <w:tc>
          <w:tcPr>
            <w:tcW w:w="1170" w:type="dxa"/>
          </w:tcPr>
          <w:p w:rsidR="00FF6CA4" w:rsidRDefault="00FF6CA4" w:rsidP="002010E9">
            <w:pPr>
              <w:jc w:val="center"/>
              <w:rPr>
                <w:rFonts w:ascii="Comic Sans MS" w:hAnsi="Comic Sans MS"/>
              </w:rPr>
            </w:pPr>
            <w:r>
              <w:rPr>
                <w:rFonts w:ascii="Comic Sans MS" w:hAnsi="Comic Sans MS"/>
              </w:rPr>
              <w:t>55.07</w:t>
            </w:r>
          </w:p>
        </w:tc>
        <w:tc>
          <w:tcPr>
            <w:tcW w:w="810" w:type="dxa"/>
          </w:tcPr>
          <w:p w:rsidR="00FF6CA4" w:rsidRDefault="00FF6CA4" w:rsidP="002010E9">
            <w:pPr>
              <w:jc w:val="center"/>
              <w:rPr>
                <w:rFonts w:ascii="Comic Sans MS" w:hAnsi="Comic Sans MS"/>
              </w:rPr>
            </w:pPr>
            <w:r>
              <w:rPr>
                <w:rFonts w:ascii="Comic Sans MS" w:hAnsi="Comic Sans MS"/>
              </w:rPr>
              <w:t>0.564</w:t>
            </w:r>
          </w:p>
        </w:tc>
      </w:tr>
      <w:tr w:rsidR="00FF6CA4" w:rsidTr="00760AA1">
        <w:tc>
          <w:tcPr>
            <w:tcW w:w="659" w:type="dxa"/>
          </w:tcPr>
          <w:p w:rsidR="00FF6CA4" w:rsidRDefault="00FF6CA4" w:rsidP="002010E9">
            <w:pPr>
              <w:jc w:val="center"/>
              <w:rPr>
                <w:rFonts w:ascii="Comic Sans MS" w:hAnsi="Comic Sans MS"/>
              </w:rPr>
            </w:pPr>
            <w:r>
              <w:rPr>
                <w:rFonts w:ascii="Comic Sans MS" w:hAnsi="Comic Sans MS"/>
              </w:rPr>
              <w:t>3</w:t>
            </w:r>
          </w:p>
        </w:tc>
        <w:tc>
          <w:tcPr>
            <w:tcW w:w="1159" w:type="dxa"/>
            <w:vMerge/>
          </w:tcPr>
          <w:p w:rsidR="00FF6CA4" w:rsidRDefault="00FF6CA4" w:rsidP="002010E9">
            <w:pPr>
              <w:jc w:val="center"/>
              <w:rPr>
                <w:rFonts w:ascii="Comic Sans MS" w:hAnsi="Comic Sans MS"/>
              </w:rPr>
            </w:pPr>
          </w:p>
        </w:tc>
        <w:tc>
          <w:tcPr>
            <w:tcW w:w="990" w:type="dxa"/>
          </w:tcPr>
          <w:p w:rsidR="00FF6CA4" w:rsidRDefault="00FF6CA4" w:rsidP="002010E9">
            <w:pPr>
              <w:jc w:val="center"/>
              <w:rPr>
                <w:rFonts w:ascii="Comic Sans MS" w:hAnsi="Comic Sans MS"/>
              </w:rPr>
            </w:pPr>
            <w:r>
              <w:rPr>
                <w:rFonts w:ascii="Comic Sans MS" w:hAnsi="Comic Sans MS"/>
              </w:rPr>
              <w:t>57.3</w:t>
            </w:r>
          </w:p>
        </w:tc>
        <w:tc>
          <w:tcPr>
            <w:tcW w:w="808" w:type="dxa"/>
          </w:tcPr>
          <w:p w:rsidR="00FF6CA4" w:rsidRDefault="00FF6CA4" w:rsidP="002010E9">
            <w:pPr>
              <w:jc w:val="center"/>
              <w:rPr>
                <w:rFonts w:ascii="Comic Sans MS" w:hAnsi="Comic Sans MS"/>
              </w:rPr>
            </w:pPr>
            <w:r>
              <w:rPr>
                <w:rFonts w:ascii="Comic Sans MS" w:hAnsi="Comic Sans MS"/>
              </w:rPr>
              <w:t>0.334</w:t>
            </w:r>
          </w:p>
        </w:tc>
        <w:tc>
          <w:tcPr>
            <w:tcW w:w="1080" w:type="dxa"/>
          </w:tcPr>
          <w:p w:rsidR="00FF6CA4" w:rsidRDefault="00FF6CA4" w:rsidP="002010E9">
            <w:pPr>
              <w:jc w:val="center"/>
              <w:rPr>
                <w:rFonts w:ascii="Comic Sans MS" w:hAnsi="Comic Sans MS"/>
              </w:rPr>
            </w:pPr>
            <w:r>
              <w:rPr>
                <w:rFonts w:ascii="Comic Sans MS" w:hAnsi="Comic Sans MS"/>
              </w:rPr>
              <w:t>56.12</w:t>
            </w:r>
          </w:p>
        </w:tc>
        <w:tc>
          <w:tcPr>
            <w:tcW w:w="990" w:type="dxa"/>
          </w:tcPr>
          <w:p w:rsidR="00FF6CA4" w:rsidRDefault="00FF6CA4" w:rsidP="002010E9">
            <w:pPr>
              <w:jc w:val="center"/>
              <w:rPr>
                <w:rFonts w:ascii="Comic Sans MS" w:hAnsi="Comic Sans MS"/>
              </w:rPr>
            </w:pPr>
            <w:r>
              <w:rPr>
                <w:rFonts w:ascii="Comic Sans MS" w:hAnsi="Comic Sans MS"/>
              </w:rPr>
              <w:t>56.17</w:t>
            </w:r>
          </w:p>
        </w:tc>
        <w:tc>
          <w:tcPr>
            <w:tcW w:w="808" w:type="dxa"/>
          </w:tcPr>
          <w:p w:rsidR="00FF6CA4" w:rsidRDefault="00FF6CA4" w:rsidP="002010E9">
            <w:pPr>
              <w:jc w:val="center"/>
              <w:rPr>
                <w:rFonts w:ascii="Comic Sans MS" w:hAnsi="Comic Sans MS"/>
              </w:rPr>
            </w:pPr>
            <w:r>
              <w:rPr>
                <w:rFonts w:ascii="Comic Sans MS" w:hAnsi="Comic Sans MS"/>
              </w:rPr>
              <w:t>0.984</w:t>
            </w:r>
          </w:p>
        </w:tc>
        <w:tc>
          <w:tcPr>
            <w:tcW w:w="1080" w:type="dxa"/>
          </w:tcPr>
          <w:p w:rsidR="00FF6CA4" w:rsidRDefault="00FF6CA4" w:rsidP="002010E9">
            <w:pPr>
              <w:jc w:val="center"/>
              <w:rPr>
                <w:rFonts w:ascii="Comic Sans MS" w:hAnsi="Comic Sans MS"/>
              </w:rPr>
            </w:pPr>
            <w:r>
              <w:rPr>
                <w:rFonts w:ascii="Comic Sans MS" w:hAnsi="Comic Sans MS"/>
              </w:rPr>
              <w:t>55.86</w:t>
            </w:r>
          </w:p>
        </w:tc>
        <w:tc>
          <w:tcPr>
            <w:tcW w:w="1170" w:type="dxa"/>
          </w:tcPr>
          <w:p w:rsidR="00FF6CA4" w:rsidRDefault="00FF6CA4" w:rsidP="002010E9">
            <w:pPr>
              <w:jc w:val="center"/>
              <w:rPr>
                <w:rFonts w:ascii="Comic Sans MS" w:hAnsi="Comic Sans MS"/>
              </w:rPr>
            </w:pPr>
            <w:r>
              <w:rPr>
                <w:rFonts w:ascii="Comic Sans MS" w:hAnsi="Comic Sans MS"/>
              </w:rPr>
              <w:t>56.05</w:t>
            </w:r>
          </w:p>
        </w:tc>
        <w:tc>
          <w:tcPr>
            <w:tcW w:w="810" w:type="dxa"/>
          </w:tcPr>
          <w:p w:rsidR="00FF6CA4" w:rsidRDefault="00FF6CA4" w:rsidP="002010E9">
            <w:pPr>
              <w:jc w:val="center"/>
              <w:rPr>
                <w:rFonts w:ascii="Comic Sans MS" w:hAnsi="Comic Sans MS"/>
              </w:rPr>
            </w:pPr>
            <w:r>
              <w:rPr>
                <w:rFonts w:ascii="Comic Sans MS" w:hAnsi="Comic Sans MS"/>
              </w:rPr>
              <w:t>0.937</w:t>
            </w:r>
          </w:p>
        </w:tc>
      </w:tr>
    </w:tbl>
    <w:tbl>
      <w:tblPr>
        <w:tblW w:w="9800" w:type="dxa"/>
        <w:tblInd w:w="108" w:type="dxa"/>
        <w:tblLook w:val="04A0" w:firstRow="1" w:lastRow="0" w:firstColumn="1" w:lastColumn="0" w:noHBand="0" w:noVBand="1"/>
      </w:tblPr>
      <w:tblGrid>
        <w:gridCol w:w="980"/>
        <w:gridCol w:w="1053"/>
        <w:gridCol w:w="1053"/>
        <w:gridCol w:w="980"/>
        <w:gridCol w:w="1053"/>
        <w:gridCol w:w="1053"/>
        <w:gridCol w:w="980"/>
        <w:gridCol w:w="980"/>
        <w:gridCol w:w="1053"/>
        <w:gridCol w:w="980"/>
      </w:tblGrid>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rPr>
                <w:rFonts w:ascii="Times New Roman" w:eastAsia="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7030A0"/>
              </w:rPr>
            </w:pPr>
            <w:r w:rsidRPr="00FF6CA4">
              <w:rPr>
                <w:rFonts w:ascii="Calibri" w:eastAsia="Times New Roman" w:hAnsi="Calibri" w:cs="Calibri"/>
                <w:color w:val="7030A0"/>
              </w:rPr>
              <w:t>out of 80 pts</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7030A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r>
      <w:tr w:rsidR="00FF6CA4" w:rsidRPr="00FF6CA4" w:rsidTr="00FF6CA4">
        <w:trPr>
          <w:trHeight w:val="576"/>
        </w:trPr>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Unit 1 pre-</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Unit 1 </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p-value </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Unit 2 pre-</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Unit 2 </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p-value </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Unit 3 pre-</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Unit 3 </w:t>
            </w:r>
            <w:proofErr w:type="spellStart"/>
            <w:r w:rsidRPr="00FF6CA4">
              <w:rPr>
                <w:rFonts w:ascii="Calibri" w:eastAsia="Times New Roman" w:hAnsi="Calibri" w:cs="Calibri"/>
                <w:color w:val="000000"/>
              </w:rPr>
              <w:t>Jrnl</w:t>
            </w:r>
            <w:proofErr w:type="spellEnd"/>
            <w:r w:rsidRPr="00FF6CA4">
              <w:rPr>
                <w:rFonts w:ascii="Calibri" w:eastAsia="Times New Roman" w:hAnsi="Calibri" w:cs="Calibri"/>
                <w:color w:val="000000"/>
              </w:rPr>
              <w:t xml:space="preserve"> Ave.</w:t>
            </w:r>
          </w:p>
        </w:tc>
        <w:tc>
          <w:tcPr>
            <w:tcW w:w="980" w:type="dxa"/>
            <w:tcBorders>
              <w:top w:val="nil"/>
              <w:left w:val="nil"/>
              <w:bottom w:val="nil"/>
              <w:right w:val="nil"/>
            </w:tcBorders>
            <w:shd w:val="clear" w:color="auto" w:fill="auto"/>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 xml:space="preserve">p-value </w:t>
            </w: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Test</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53.01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55.53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0.338</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53.86</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54.35</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0.8</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53.99</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56.56</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0.264</w:t>
            </w: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2</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58.94</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60.83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0.132</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60.75</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59.81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0.804</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59.59</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55.07</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0.564</w:t>
            </w: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54.99</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57.3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0.334</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56.12</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56.17</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0.984</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55.86</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56.05</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0.937</w:t>
            </w: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0.695583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0.723583</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0.711375</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0.709708</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0.706</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0.698667</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r>
      <w:tr w:rsidR="00FF6CA4" w:rsidRPr="00FF6CA4" w:rsidTr="00FF6CA4">
        <w:trPr>
          <w:trHeight w:val="288"/>
        </w:trPr>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70%</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72%</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71%</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r w:rsidRPr="00FF6CA4">
              <w:rPr>
                <w:rFonts w:ascii="Calibri" w:eastAsia="Times New Roman" w:hAnsi="Calibri" w:cs="Calibri"/>
                <w:color w:val="000000"/>
              </w:rPr>
              <w:t>70%</w:t>
            </w:r>
          </w:p>
        </w:tc>
        <w:tc>
          <w:tcPr>
            <w:tcW w:w="980" w:type="dxa"/>
            <w:tcBorders>
              <w:top w:val="nil"/>
              <w:left w:val="nil"/>
              <w:bottom w:val="nil"/>
              <w:right w:val="nil"/>
            </w:tcBorders>
            <w:shd w:val="clear" w:color="auto" w:fill="auto"/>
            <w:noWrap/>
            <w:vAlign w:val="bottom"/>
            <w:hideMark/>
          </w:tcPr>
          <w:p w:rsidR="00FF6CA4" w:rsidRPr="00FF6CA4" w:rsidRDefault="00FF6CA4" w:rsidP="00FF6CA4">
            <w:pPr>
              <w:spacing w:after="0" w:line="240" w:lineRule="auto"/>
              <w:jc w:val="center"/>
              <w:rPr>
                <w:rFonts w:ascii="Calibri" w:eastAsia="Times New Roman" w:hAnsi="Calibri" w:cs="Calibri"/>
                <w:color w:val="000000"/>
              </w:rPr>
            </w:pPr>
          </w:p>
        </w:tc>
      </w:tr>
    </w:tbl>
    <w:p w:rsidR="002010E9" w:rsidRDefault="002010E9" w:rsidP="002010E9">
      <w:pPr>
        <w:rPr>
          <w:rFonts w:ascii="Comic Sans MS" w:hAnsi="Comic Sans MS"/>
        </w:rPr>
      </w:pPr>
      <w:bookmarkStart w:id="0" w:name="_GoBack"/>
      <w:bookmarkEnd w:id="0"/>
    </w:p>
    <w:p w:rsidR="002D5B7D" w:rsidRDefault="002D5B7D" w:rsidP="002010E9">
      <w:pPr>
        <w:rPr>
          <w:rFonts w:ascii="Comic Sans MS" w:hAnsi="Comic Sans MS"/>
        </w:rPr>
      </w:pPr>
      <w:r w:rsidRPr="002D5B7D">
        <w:rPr>
          <w:rFonts w:ascii="Comic Sans MS" w:hAnsi="Comic Sans MS"/>
          <w:u w:val="single"/>
        </w:rPr>
        <w:t>Conclusions</w:t>
      </w:r>
      <w:r>
        <w:rPr>
          <w:rFonts w:ascii="Comic Sans MS" w:hAnsi="Comic Sans MS"/>
        </w:rPr>
        <w:t>:</w:t>
      </w:r>
    </w:p>
    <w:p w:rsidR="002D5B7D" w:rsidRDefault="002D5B7D" w:rsidP="002D5B7D">
      <w:pPr>
        <w:pStyle w:val="ListParagraph"/>
        <w:numPr>
          <w:ilvl w:val="0"/>
          <w:numId w:val="4"/>
        </w:numPr>
        <w:rPr>
          <w:rFonts w:ascii="Comic Sans MS" w:hAnsi="Comic Sans MS"/>
        </w:rPr>
      </w:pPr>
      <w:r>
        <w:rPr>
          <w:rFonts w:ascii="Comic Sans MS" w:hAnsi="Comic Sans MS"/>
        </w:rPr>
        <w:t>The calculated p-values demonstrate that any difference between testing performance related to journaling is by chance, there is no significant statistical data to support its continued use.</w:t>
      </w:r>
    </w:p>
    <w:p w:rsidR="002D5B7D" w:rsidRDefault="002D5B7D" w:rsidP="002D5B7D">
      <w:pPr>
        <w:pStyle w:val="ListParagraph"/>
        <w:numPr>
          <w:ilvl w:val="0"/>
          <w:numId w:val="4"/>
        </w:numPr>
        <w:rPr>
          <w:rFonts w:ascii="Comic Sans MS" w:hAnsi="Comic Sans MS"/>
        </w:rPr>
      </w:pPr>
      <w:r>
        <w:rPr>
          <w:rFonts w:ascii="Comic Sans MS" w:hAnsi="Comic Sans MS"/>
        </w:rPr>
        <w:t>Statistics do not tell the whole story.  Each data point is comprised of a variable group of students with a range of academic talent and interest.  For those students who do a great job in their journals and continue journaling after the required three units, they are usually in the top ranks of their sections.  Does journaling make the student better or do the better students do a better job of journaling because they are more focused on academics and end-goals?</w:t>
      </w:r>
    </w:p>
    <w:p w:rsidR="001F3523" w:rsidRPr="002D5B7D" w:rsidRDefault="001F3523" w:rsidP="002D5B7D">
      <w:pPr>
        <w:pStyle w:val="ListParagraph"/>
        <w:numPr>
          <w:ilvl w:val="0"/>
          <w:numId w:val="4"/>
        </w:numPr>
        <w:rPr>
          <w:rFonts w:ascii="Comic Sans MS" w:hAnsi="Comic Sans MS"/>
        </w:rPr>
      </w:pPr>
      <w:r>
        <w:rPr>
          <w:rFonts w:ascii="Comic Sans MS" w:hAnsi="Comic Sans MS"/>
        </w:rPr>
        <w:t>Students often state that journaling seems to be specific to EMCC since they did not do this at other community colleges.  However, EMCC’s student population tends not to be as well prepared as they might be.  It is better to ask students to do something to bring everyone up to the same level of good study habits rather than not because some students are prepared.</w:t>
      </w:r>
    </w:p>
    <w:sectPr w:rsidR="001F3523" w:rsidRPr="002D5B7D" w:rsidSect="00937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E7F"/>
    <w:multiLevelType w:val="hybridMultilevel"/>
    <w:tmpl w:val="3BF4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818"/>
    <w:multiLevelType w:val="hybridMultilevel"/>
    <w:tmpl w:val="278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D54D5"/>
    <w:multiLevelType w:val="hybridMultilevel"/>
    <w:tmpl w:val="61F0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B60F0"/>
    <w:multiLevelType w:val="hybridMultilevel"/>
    <w:tmpl w:val="9EF8FA92"/>
    <w:lvl w:ilvl="0" w:tplc="3536E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FF"/>
    <w:rsid w:val="001F3523"/>
    <w:rsid w:val="002010E9"/>
    <w:rsid w:val="002A5538"/>
    <w:rsid w:val="002D5B7D"/>
    <w:rsid w:val="00323AD2"/>
    <w:rsid w:val="003F1215"/>
    <w:rsid w:val="004F1CAF"/>
    <w:rsid w:val="00560921"/>
    <w:rsid w:val="005774FD"/>
    <w:rsid w:val="00622018"/>
    <w:rsid w:val="00760AA1"/>
    <w:rsid w:val="007A1314"/>
    <w:rsid w:val="008121C1"/>
    <w:rsid w:val="00937E67"/>
    <w:rsid w:val="00D13C5C"/>
    <w:rsid w:val="00F009FF"/>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169D0-1B27-42A9-926F-62A981E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FF"/>
    <w:pPr>
      <w:ind w:left="720"/>
      <w:contextualSpacing/>
    </w:pPr>
  </w:style>
  <w:style w:type="table" w:styleId="TableGrid">
    <w:name w:val="Table Grid"/>
    <w:basedOn w:val="TableNormal"/>
    <w:uiPriority w:val="59"/>
    <w:rsid w:val="0020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Schmidt</dc:creator>
  <cp:lastModifiedBy>Steele,Bronwen B</cp:lastModifiedBy>
  <cp:revision>2</cp:revision>
  <dcterms:created xsi:type="dcterms:W3CDTF">2019-11-29T20:59:00Z</dcterms:created>
  <dcterms:modified xsi:type="dcterms:W3CDTF">2019-11-29T20:59:00Z</dcterms:modified>
</cp:coreProperties>
</file>